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F437" w14:textId="77777777" w:rsidR="00A85962" w:rsidRDefault="00A85962" w:rsidP="000857E0">
      <w:pPr>
        <w:spacing w:after="120" w:line="240" w:lineRule="auto"/>
        <w:jc w:val="both"/>
        <w:rPr>
          <w:sz w:val="20"/>
          <w:szCs w:val="20"/>
        </w:rPr>
      </w:pPr>
      <w:r>
        <w:rPr>
          <w:sz w:val="20"/>
          <w:szCs w:val="20"/>
        </w:rPr>
        <w:t xml:space="preserve">This </w:t>
      </w:r>
      <w:r w:rsidR="0081175F">
        <w:rPr>
          <w:sz w:val="20"/>
          <w:szCs w:val="20"/>
        </w:rPr>
        <w:t>outline</w:t>
      </w:r>
      <w:r>
        <w:rPr>
          <w:sz w:val="20"/>
          <w:szCs w:val="20"/>
        </w:rPr>
        <w:t xml:space="preserve"> </w:t>
      </w:r>
      <w:r w:rsidR="00CC41E7">
        <w:rPr>
          <w:sz w:val="20"/>
          <w:szCs w:val="20"/>
        </w:rPr>
        <w:t xml:space="preserve">is </w:t>
      </w:r>
      <w:r w:rsidR="00175C46">
        <w:rPr>
          <w:sz w:val="20"/>
          <w:szCs w:val="20"/>
        </w:rPr>
        <w:t>for LPA</w:t>
      </w:r>
      <w:r>
        <w:rPr>
          <w:sz w:val="20"/>
          <w:szCs w:val="20"/>
        </w:rPr>
        <w:t xml:space="preserve"> and other governmental entities to report Title VI activities that occurred over the past</w:t>
      </w:r>
      <w:r w:rsidR="00CC41E7">
        <w:rPr>
          <w:sz w:val="20"/>
          <w:szCs w:val="20"/>
        </w:rPr>
        <w:t xml:space="preserve"> </w:t>
      </w:r>
      <w:r>
        <w:rPr>
          <w:sz w:val="20"/>
          <w:szCs w:val="20"/>
        </w:rPr>
        <w:t>year</w:t>
      </w:r>
      <w:r w:rsidR="00825B15">
        <w:rPr>
          <w:sz w:val="20"/>
          <w:szCs w:val="20"/>
        </w:rPr>
        <w:t xml:space="preserve"> and report Title VI goals for the upcoming year</w:t>
      </w:r>
      <w:r>
        <w:rPr>
          <w:sz w:val="20"/>
          <w:szCs w:val="20"/>
        </w:rPr>
        <w:t xml:space="preserve">. Reports </w:t>
      </w:r>
      <w:r w:rsidR="00175C46">
        <w:rPr>
          <w:sz w:val="20"/>
          <w:szCs w:val="20"/>
        </w:rPr>
        <w:t>must</w:t>
      </w:r>
      <w:r>
        <w:rPr>
          <w:sz w:val="20"/>
          <w:szCs w:val="20"/>
        </w:rPr>
        <w:t xml:space="preserve"> be returned on or before </w:t>
      </w:r>
      <w:r w:rsidR="00175C46">
        <w:rPr>
          <w:sz w:val="20"/>
          <w:szCs w:val="20"/>
        </w:rPr>
        <w:t>due date</w:t>
      </w:r>
      <w:r>
        <w:rPr>
          <w:sz w:val="20"/>
          <w:szCs w:val="20"/>
        </w:rPr>
        <w:t xml:space="preserve"> to meet eligibility requirements for federal funding. Send to </w:t>
      </w:r>
      <w:r w:rsidRPr="0028494B">
        <w:rPr>
          <w:sz w:val="20"/>
          <w:szCs w:val="20"/>
        </w:rPr>
        <w:t>TitleVI@WSDOT.wa.gov</w:t>
      </w:r>
      <w:r>
        <w:rPr>
          <w:sz w:val="20"/>
          <w:szCs w:val="20"/>
        </w:rPr>
        <w:t xml:space="preserve"> </w:t>
      </w:r>
    </w:p>
    <w:p w14:paraId="7D0C9EF8" w14:textId="40B563F8" w:rsidR="008F6272" w:rsidRDefault="008F6272" w:rsidP="000857E0">
      <w:pPr>
        <w:spacing w:after="120" w:line="240" w:lineRule="auto"/>
        <w:jc w:val="both"/>
        <w:rPr>
          <w:sz w:val="20"/>
          <w:szCs w:val="20"/>
        </w:rPr>
      </w:pPr>
      <w:r w:rsidRPr="00175C46">
        <w:rPr>
          <w:i/>
          <w:sz w:val="20"/>
          <w:szCs w:val="20"/>
        </w:rPr>
        <w:t>DUE DATES:</w:t>
      </w:r>
      <w:r>
        <w:rPr>
          <w:sz w:val="20"/>
          <w:szCs w:val="20"/>
        </w:rPr>
        <w:t xml:space="preserve"> </w:t>
      </w:r>
      <w:r w:rsidR="00175C46">
        <w:rPr>
          <w:sz w:val="20"/>
          <w:szCs w:val="20"/>
        </w:rPr>
        <w:t>Refer to</w:t>
      </w:r>
      <w:r w:rsidR="00592C7B">
        <w:rPr>
          <w:sz w:val="20"/>
          <w:szCs w:val="20"/>
        </w:rPr>
        <w:t xml:space="preserve"> </w:t>
      </w:r>
      <w:r>
        <w:rPr>
          <w:sz w:val="20"/>
          <w:szCs w:val="20"/>
        </w:rPr>
        <w:t xml:space="preserve">Section 28.3 for </w:t>
      </w:r>
      <w:r w:rsidR="00175C46">
        <w:rPr>
          <w:sz w:val="20"/>
          <w:szCs w:val="20"/>
        </w:rPr>
        <w:t>scheduled</w:t>
      </w:r>
      <w:r>
        <w:rPr>
          <w:sz w:val="20"/>
          <w:szCs w:val="20"/>
        </w:rPr>
        <w:t xml:space="preserve"> reporting period </w:t>
      </w:r>
      <w:r w:rsidR="00912920">
        <w:rPr>
          <w:sz w:val="20"/>
          <w:szCs w:val="20"/>
        </w:rPr>
        <w:t>and</w:t>
      </w:r>
      <w:r w:rsidR="00912920" w:rsidRPr="00B21D9F">
        <w:rPr>
          <w:sz w:val="20"/>
          <w:szCs w:val="20"/>
        </w:rPr>
        <w:t xml:space="preserve"> due date</w:t>
      </w:r>
      <w:r w:rsidR="00912920">
        <w:rPr>
          <w:sz w:val="20"/>
          <w:szCs w:val="20"/>
        </w:rPr>
        <w:t xml:space="preserve"> May 1</w:t>
      </w:r>
      <w:r w:rsidR="00912920" w:rsidRPr="00BC4749">
        <w:rPr>
          <w:sz w:val="20"/>
          <w:szCs w:val="20"/>
          <w:vertAlign w:val="superscript"/>
        </w:rPr>
        <w:t>st</w:t>
      </w:r>
      <w:r w:rsidR="00912920">
        <w:rPr>
          <w:sz w:val="20"/>
          <w:szCs w:val="20"/>
        </w:rPr>
        <w:t xml:space="preserve"> yearly.</w:t>
      </w:r>
    </w:p>
    <w:p w14:paraId="683B8AC0" w14:textId="77777777" w:rsidR="00A85962" w:rsidRPr="00C6263D" w:rsidRDefault="006B32F9" w:rsidP="00CC41E7">
      <w:pPr>
        <w:spacing w:after="100" w:line="240" w:lineRule="auto"/>
        <w:jc w:val="both"/>
      </w:pPr>
      <w:r>
        <w:rPr>
          <w:b/>
        </w:rPr>
        <w:t>Contact</w:t>
      </w:r>
      <w:r w:rsidR="00A85962" w:rsidRPr="00C6263D">
        <w:rPr>
          <w:b/>
        </w:rPr>
        <w:t xml:space="preserve"> Information</w:t>
      </w:r>
    </w:p>
    <w:p w14:paraId="4F46CEED" w14:textId="22F36F34" w:rsidR="00A85962" w:rsidRDefault="00A85962" w:rsidP="00D92BFA">
      <w:pPr>
        <w:spacing w:line="240" w:lineRule="auto"/>
        <w:jc w:val="both"/>
        <w:rPr>
          <w:sz w:val="20"/>
          <w:szCs w:val="20"/>
        </w:rPr>
      </w:pPr>
      <w:r>
        <w:rPr>
          <w:sz w:val="20"/>
          <w:szCs w:val="20"/>
        </w:rPr>
        <w:t xml:space="preserve">Name and </w:t>
      </w:r>
      <w:r w:rsidR="00D92BFA">
        <w:rPr>
          <w:sz w:val="20"/>
          <w:szCs w:val="20"/>
        </w:rPr>
        <w:t>t</w:t>
      </w:r>
      <w:r w:rsidR="000857E0">
        <w:rPr>
          <w:sz w:val="20"/>
          <w:szCs w:val="20"/>
        </w:rPr>
        <w:t>itle of administrator (signature on Standard Assurances)</w:t>
      </w:r>
      <w:r>
        <w:rPr>
          <w:sz w:val="20"/>
          <w:szCs w:val="20"/>
        </w:rPr>
        <w:t>:</w:t>
      </w:r>
      <w:r w:rsidR="00E4387F">
        <w:rPr>
          <w:sz w:val="20"/>
          <w:szCs w:val="20"/>
        </w:rPr>
        <w:t xml:space="preserve"> Gene Brazel, City Administrator</w:t>
      </w:r>
    </w:p>
    <w:p w14:paraId="6A7D3881" w14:textId="27B75292" w:rsidR="00A85962" w:rsidRDefault="00A85962" w:rsidP="00D92BFA">
      <w:pPr>
        <w:spacing w:line="240" w:lineRule="auto"/>
        <w:jc w:val="both"/>
        <w:rPr>
          <w:sz w:val="20"/>
          <w:szCs w:val="20"/>
        </w:rPr>
      </w:pPr>
      <w:r>
        <w:rPr>
          <w:sz w:val="20"/>
          <w:szCs w:val="20"/>
        </w:rPr>
        <w:t>Mailing Address:</w:t>
      </w:r>
      <w:r w:rsidR="00067E53">
        <w:rPr>
          <w:sz w:val="20"/>
          <w:szCs w:val="20"/>
        </w:rPr>
        <w:t xml:space="preserve"> </w:t>
      </w:r>
      <w:r w:rsidR="00033F39">
        <w:rPr>
          <w:sz w:val="20"/>
          <w:szCs w:val="20"/>
        </w:rPr>
        <w:t>1812 Main St, PO Box 257</w:t>
      </w:r>
    </w:p>
    <w:p w14:paraId="60EDA7F8" w14:textId="33CFBDE8" w:rsidR="00A85962" w:rsidRDefault="00A85962" w:rsidP="00D92BFA">
      <w:pPr>
        <w:spacing w:line="240" w:lineRule="auto"/>
        <w:jc w:val="both"/>
        <w:rPr>
          <w:sz w:val="20"/>
          <w:szCs w:val="20"/>
        </w:rPr>
      </w:pPr>
      <w:r>
        <w:rPr>
          <w:sz w:val="20"/>
          <w:szCs w:val="20"/>
        </w:rPr>
        <w:t>City:</w:t>
      </w:r>
      <w:r w:rsidR="00251A4B">
        <w:rPr>
          <w:sz w:val="20"/>
          <w:szCs w:val="20"/>
        </w:rPr>
        <w:t xml:space="preserve"> Lake Stevens</w:t>
      </w:r>
      <w:r>
        <w:rPr>
          <w:sz w:val="20"/>
          <w:szCs w:val="20"/>
        </w:rPr>
        <w:tab/>
      </w:r>
      <w:r>
        <w:rPr>
          <w:sz w:val="20"/>
          <w:szCs w:val="20"/>
        </w:rPr>
        <w:tab/>
      </w:r>
      <w:r>
        <w:rPr>
          <w:sz w:val="20"/>
          <w:szCs w:val="20"/>
        </w:rPr>
        <w:tab/>
        <w:t>WA</w:t>
      </w:r>
      <w:r>
        <w:rPr>
          <w:sz w:val="20"/>
          <w:szCs w:val="20"/>
        </w:rPr>
        <w:tab/>
        <w:t>Zip Code:</w:t>
      </w:r>
      <w:r w:rsidR="00251A4B">
        <w:rPr>
          <w:sz w:val="20"/>
          <w:szCs w:val="20"/>
        </w:rPr>
        <w:t xml:space="preserve"> 98258</w:t>
      </w:r>
      <w:r>
        <w:rPr>
          <w:sz w:val="20"/>
          <w:szCs w:val="20"/>
        </w:rPr>
        <w:tab/>
      </w:r>
      <w:r>
        <w:rPr>
          <w:sz w:val="20"/>
          <w:szCs w:val="20"/>
        </w:rPr>
        <w:tab/>
        <w:t>County:</w:t>
      </w:r>
      <w:r w:rsidR="0022182E">
        <w:rPr>
          <w:sz w:val="20"/>
          <w:szCs w:val="20"/>
        </w:rPr>
        <w:t xml:space="preserve"> Snohomish</w:t>
      </w:r>
    </w:p>
    <w:p w14:paraId="1851BFA5" w14:textId="2BABE827" w:rsidR="00A85962" w:rsidRDefault="00A85962" w:rsidP="00A85962">
      <w:pPr>
        <w:jc w:val="both"/>
        <w:rPr>
          <w:sz w:val="20"/>
          <w:szCs w:val="20"/>
        </w:rPr>
      </w:pPr>
      <w:r>
        <w:rPr>
          <w:sz w:val="20"/>
          <w:szCs w:val="20"/>
        </w:rPr>
        <w:t>Phone #:</w:t>
      </w:r>
      <w:r>
        <w:rPr>
          <w:sz w:val="20"/>
          <w:szCs w:val="20"/>
        </w:rPr>
        <w:tab/>
      </w:r>
      <w:r w:rsidR="009C7240">
        <w:rPr>
          <w:sz w:val="20"/>
          <w:szCs w:val="20"/>
        </w:rPr>
        <w:t xml:space="preserve"> 425-622</w:t>
      </w:r>
      <w:r w:rsidR="009C7240">
        <w:rPr>
          <w:sz w:val="20"/>
          <w:szCs w:val="20"/>
        </w:rPr>
        <w:tab/>
        <w:t>-9400</w:t>
      </w:r>
      <w:r>
        <w:rPr>
          <w:sz w:val="20"/>
          <w:szCs w:val="20"/>
        </w:rPr>
        <w:tab/>
      </w:r>
      <w:r w:rsidR="00067E53">
        <w:rPr>
          <w:sz w:val="20"/>
          <w:szCs w:val="20"/>
        </w:rPr>
        <w:tab/>
      </w:r>
      <w:r w:rsidR="00067E53">
        <w:rPr>
          <w:sz w:val="20"/>
          <w:szCs w:val="20"/>
        </w:rPr>
        <w:tab/>
      </w:r>
      <w:r w:rsidR="00067E53">
        <w:rPr>
          <w:sz w:val="20"/>
          <w:szCs w:val="20"/>
        </w:rPr>
        <w:tab/>
      </w:r>
      <w:r w:rsidR="00825B15">
        <w:rPr>
          <w:sz w:val="20"/>
          <w:szCs w:val="20"/>
        </w:rPr>
        <w:t>email</w:t>
      </w:r>
      <w:r w:rsidR="00067E53">
        <w:rPr>
          <w:sz w:val="20"/>
          <w:szCs w:val="20"/>
        </w:rPr>
        <w:t xml:space="preserve"> address:</w:t>
      </w:r>
      <w:r w:rsidR="00ED26EA">
        <w:rPr>
          <w:sz w:val="20"/>
          <w:szCs w:val="20"/>
        </w:rPr>
        <w:t xml:space="preserve"> </w:t>
      </w:r>
      <w:r w:rsidR="007A665C">
        <w:rPr>
          <w:sz w:val="20"/>
          <w:szCs w:val="20"/>
        </w:rPr>
        <w:t>gbrazel@lakestevenswa.gov</w:t>
      </w:r>
    </w:p>
    <w:p w14:paraId="1331DBA9" w14:textId="77777777" w:rsidR="000857E0" w:rsidRDefault="000857E0" w:rsidP="000857E0">
      <w:pPr>
        <w:spacing w:after="0" w:line="240" w:lineRule="auto"/>
        <w:jc w:val="both"/>
        <w:rPr>
          <w:sz w:val="20"/>
          <w:szCs w:val="20"/>
        </w:rPr>
      </w:pPr>
    </w:p>
    <w:p w14:paraId="7AC49724" w14:textId="2CEAFB56" w:rsidR="000857E0" w:rsidRDefault="000857E0" w:rsidP="000857E0">
      <w:pPr>
        <w:spacing w:line="240" w:lineRule="auto"/>
        <w:jc w:val="both"/>
        <w:rPr>
          <w:sz w:val="20"/>
          <w:szCs w:val="20"/>
        </w:rPr>
      </w:pPr>
      <w:r>
        <w:rPr>
          <w:sz w:val="20"/>
          <w:szCs w:val="20"/>
        </w:rPr>
        <w:t>Name and title of head of transportation-related services:</w:t>
      </w:r>
      <w:r w:rsidR="00B4624D">
        <w:rPr>
          <w:sz w:val="20"/>
          <w:szCs w:val="20"/>
        </w:rPr>
        <w:t xml:space="preserve"> Aaron Halverson, Public Works Director</w:t>
      </w:r>
    </w:p>
    <w:p w14:paraId="62E73B7C" w14:textId="51BE4C2F" w:rsidR="000857E0" w:rsidRDefault="000857E0" w:rsidP="000857E0">
      <w:pPr>
        <w:spacing w:line="240" w:lineRule="auto"/>
        <w:jc w:val="both"/>
        <w:rPr>
          <w:sz w:val="20"/>
          <w:szCs w:val="20"/>
        </w:rPr>
      </w:pPr>
      <w:r>
        <w:rPr>
          <w:sz w:val="20"/>
          <w:szCs w:val="20"/>
        </w:rPr>
        <w:t xml:space="preserve">Mailing Address: </w:t>
      </w:r>
      <w:r w:rsidR="00D160DA">
        <w:rPr>
          <w:sz w:val="20"/>
          <w:szCs w:val="20"/>
        </w:rPr>
        <w:t>1812 Main St, PO Box 257</w:t>
      </w:r>
    </w:p>
    <w:p w14:paraId="5BE1E42E" w14:textId="4DF3F759" w:rsidR="000857E0" w:rsidRDefault="000857E0" w:rsidP="000857E0">
      <w:pPr>
        <w:spacing w:line="240" w:lineRule="auto"/>
        <w:jc w:val="both"/>
        <w:rPr>
          <w:sz w:val="20"/>
          <w:szCs w:val="20"/>
        </w:rPr>
      </w:pPr>
      <w:r>
        <w:rPr>
          <w:sz w:val="20"/>
          <w:szCs w:val="20"/>
        </w:rPr>
        <w:t>City</w:t>
      </w:r>
      <w:r w:rsidR="00504739">
        <w:rPr>
          <w:sz w:val="20"/>
          <w:szCs w:val="20"/>
        </w:rPr>
        <w:t>: Lake Stevens</w:t>
      </w:r>
      <w:r>
        <w:rPr>
          <w:sz w:val="20"/>
          <w:szCs w:val="20"/>
        </w:rPr>
        <w:tab/>
      </w:r>
      <w:r>
        <w:rPr>
          <w:sz w:val="20"/>
          <w:szCs w:val="20"/>
        </w:rPr>
        <w:tab/>
      </w:r>
      <w:r>
        <w:rPr>
          <w:sz w:val="20"/>
          <w:szCs w:val="20"/>
        </w:rPr>
        <w:tab/>
        <w:t>WA</w:t>
      </w:r>
      <w:r>
        <w:rPr>
          <w:sz w:val="20"/>
          <w:szCs w:val="20"/>
        </w:rPr>
        <w:tab/>
        <w:t>Zip Code:</w:t>
      </w:r>
      <w:r w:rsidR="00504739">
        <w:rPr>
          <w:sz w:val="20"/>
          <w:szCs w:val="20"/>
        </w:rPr>
        <w:t xml:space="preserve"> 98258</w:t>
      </w:r>
      <w:r>
        <w:rPr>
          <w:sz w:val="20"/>
          <w:szCs w:val="20"/>
        </w:rPr>
        <w:tab/>
      </w:r>
      <w:r>
        <w:rPr>
          <w:sz w:val="20"/>
          <w:szCs w:val="20"/>
        </w:rPr>
        <w:tab/>
        <w:t>County:</w:t>
      </w:r>
      <w:r w:rsidR="00504739">
        <w:rPr>
          <w:sz w:val="20"/>
          <w:szCs w:val="20"/>
        </w:rPr>
        <w:t xml:space="preserve"> Snohomish</w:t>
      </w:r>
    </w:p>
    <w:p w14:paraId="03FB9447" w14:textId="32898729" w:rsidR="000857E0" w:rsidRDefault="000857E0" w:rsidP="000857E0">
      <w:pPr>
        <w:jc w:val="both"/>
        <w:rPr>
          <w:sz w:val="20"/>
          <w:szCs w:val="20"/>
        </w:rPr>
      </w:pPr>
      <w:r>
        <w:rPr>
          <w:sz w:val="20"/>
          <w:szCs w:val="20"/>
        </w:rPr>
        <w:t>Phone #:</w:t>
      </w:r>
      <w:r>
        <w:rPr>
          <w:sz w:val="20"/>
          <w:szCs w:val="20"/>
        </w:rPr>
        <w:tab/>
      </w:r>
      <w:r w:rsidR="00504739">
        <w:rPr>
          <w:sz w:val="20"/>
          <w:szCs w:val="20"/>
        </w:rPr>
        <w:t xml:space="preserve"> </w:t>
      </w:r>
      <w:r w:rsidR="009C7A81">
        <w:rPr>
          <w:sz w:val="20"/>
          <w:szCs w:val="20"/>
        </w:rPr>
        <w:t>425-622-9403</w:t>
      </w:r>
      <w:r>
        <w:rPr>
          <w:sz w:val="20"/>
          <w:szCs w:val="20"/>
        </w:rPr>
        <w:tab/>
      </w:r>
      <w:r>
        <w:rPr>
          <w:sz w:val="20"/>
          <w:szCs w:val="20"/>
        </w:rPr>
        <w:tab/>
      </w:r>
      <w:r>
        <w:rPr>
          <w:sz w:val="20"/>
          <w:szCs w:val="20"/>
        </w:rPr>
        <w:tab/>
      </w:r>
      <w:r>
        <w:rPr>
          <w:sz w:val="20"/>
          <w:szCs w:val="20"/>
        </w:rPr>
        <w:tab/>
        <w:t>email address:</w:t>
      </w:r>
      <w:r w:rsidR="00F4108D">
        <w:rPr>
          <w:sz w:val="20"/>
          <w:szCs w:val="20"/>
        </w:rPr>
        <w:t xml:space="preserve"> ahalverson@lakestevenswa.gov</w:t>
      </w:r>
    </w:p>
    <w:p w14:paraId="657419EB" w14:textId="77777777" w:rsidR="00C6263D" w:rsidRPr="000857E0" w:rsidRDefault="00C6263D" w:rsidP="000857E0">
      <w:pPr>
        <w:spacing w:after="0" w:line="240" w:lineRule="auto"/>
        <w:jc w:val="both"/>
        <w:rPr>
          <w:b/>
          <w:sz w:val="20"/>
          <w:szCs w:val="20"/>
        </w:rPr>
      </w:pPr>
    </w:p>
    <w:p w14:paraId="32133A11" w14:textId="05CAEE7F" w:rsidR="00067E53" w:rsidRDefault="00067E53" w:rsidP="00D92BFA">
      <w:pPr>
        <w:spacing w:line="240" w:lineRule="auto"/>
        <w:jc w:val="both"/>
        <w:rPr>
          <w:sz w:val="20"/>
          <w:szCs w:val="20"/>
        </w:rPr>
      </w:pPr>
      <w:r>
        <w:rPr>
          <w:sz w:val="20"/>
          <w:szCs w:val="20"/>
        </w:rPr>
        <w:t>Nam</w:t>
      </w:r>
      <w:r w:rsidR="00D92BFA">
        <w:rPr>
          <w:sz w:val="20"/>
          <w:szCs w:val="20"/>
        </w:rPr>
        <w:t>e and t</w:t>
      </w:r>
      <w:r>
        <w:rPr>
          <w:sz w:val="20"/>
          <w:szCs w:val="20"/>
        </w:rPr>
        <w:t>itle of designated Title VI coordinator</w:t>
      </w:r>
      <w:r w:rsidR="0054017F">
        <w:rPr>
          <w:sz w:val="20"/>
          <w:szCs w:val="20"/>
        </w:rPr>
        <w:t>*</w:t>
      </w:r>
      <w:r>
        <w:rPr>
          <w:sz w:val="20"/>
          <w:szCs w:val="20"/>
        </w:rPr>
        <w:t>:</w:t>
      </w:r>
      <w:r w:rsidR="00904BDD">
        <w:rPr>
          <w:sz w:val="20"/>
          <w:szCs w:val="20"/>
        </w:rPr>
        <w:t xml:space="preserve"> </w:t>
      </w:r>
      <w:r w:rsidR="008B7AB3" w:rsidRPr="009B0BD8">
        <w:rPr>
          <w:sz w:val="20"/>
          <w:szCs w:val="20"/>
        </w:rPr>
        <w:t>Max Roth, Risk Manager</w:t>
      </w:r>
    </w:p>
    <w:p w14:paraId="26A77505" w14:textId="7F845B30" w:rsidR="00067E53" w:rsidRDefault="00067E53" w:rsidP="00D92BFA">
      <w:pPr>
        <w:spacing w:line="240" w:lineRule="auto"/>
        <w:jc w:val="both"/>
        <w:rPr>
          <w:sz w:val="20"/>
          <w:szCs w:val="20"/>
        </w:rPr>
      </w:pPr>
      <w:r>
        <w:rPr>
          <w:sz w:val="20"/>
          <w:szCs w:val="20"/>
        </w:rPr>
        <w:t>Mailing Address:</w:t>
      </w:r>
      <w:r w:rsidR="00054C93">
        <w:rPr>
          <w:sz w:val="20"/>
          <w:szCs w:val="20"/>
        </w:rPr>
        <w:t xml:space="preserve"> 1812 Main St, PO Box 257</w:t>
      </w:r>
    </w:p>
    <w:p w14:paraId="0141084D" w14:textId="1F9711BF" w:rsidR="00067E53" w:rsidRDefault="00067E53" w:rsidP="00D92BFA">
      <w:pPr>
        <w:spacing w:line="240" w:lineRule="auto"/>
        <w:jc w:val="both"/>
        <w:rPr>
          <w:sz w:val="20"/>
          <w:szCs w:val="20"/>
        </w:rPr>
      </w:pPr>
      <w:r>
        <w:rPr>
          <w:sz w:val="20"/>
          <w:szCs w:val="20"/>
        </w:rPr>
        <w:t>City:</w:t>
      </w:r>
      <w:r w:rsidR="00054C93">
        <w:rPr>
          <w:sz w:val="20"/>
          <w:szCs w:val="20"/>
        </w:rPr>
        <w:t xml:space="preserve"> Lake Stevens</w:t>
      </w:r>
      <w:r>
        <w:rPr>
          <w:sz w:val="20"/>
          <w:szCs w:val="20"/>
        </w:rPr>
        <w:tab/>
      </w:r>
      <w:r>
        <w:rPr>
          <w:sz w:val="20"/>
          <w:szCs w:val="20"/>
        </w:rPr>
        <w:tab/>
      </w:r>
      <w:r>
        <w:rPr>
          <w:sz w:val="20"/>
          <w:szCs w:val="20"/>
        </w:rPr>
        <w:tab/>
        <w:t>WA</w:t>
      </w:r>
      <w:r>
        <w:rPr>
          <w:sz w:val="20"/>
          <w:szCs w:val="20"/>
        </w:rPr>
        <w:tab/>
        <w:t>Zip Code:</w:t>
      </w:r>
      <w:r w:rsidR="00054C93">
        <w:rPr>
          <w:sz w:val="20"/>
          <w:szCs w:val="20"/>
        </w:rPr>
        <w:t xml:space="preserve"> 98258</w:t>
      </w:r>
      <w:r>
        <w:rPr>
          <w:sz w:val="20"/>
          <w:szCs w:val="20"/>
        </w:rPr>
        <w:tab/>
      </w:r>
      <w:r>
        <w:rPr>
          <w:sz w:val="20"/>
          <w:szCs w:val="20"/>
        </w:rPr>
        <w:tab/>
        <w:t>County:</w:t>
      </w:r>
      <w:r w:rsidR="00054C93">
        <w:rPr>
          <w:sz w:val="20"/>
          <w:szCs w:val="20"/>
        </w:rPr>
        <w:t xml:space="preserve"> Snohomish</w:t>
      </w:r>
    </w:p>
    <w:p w14:paraId="36E83064" w14:textId="0085CE89" w:rsidR="00067E53" w:rsidRDefault="00067E53" w:rsidP="00D92BFA">
      <w:pPr>
        <w:spacing w:line="240" w:lineRule="auto"/>
        <w:jc w:val="both"/>
        <w:rPr>
          <w:sz w:val="20"/>
          <w:szCs w:val="20"/>
        </w:rPr>
      </w:pPr>
      <w:r>
        <w:rPr>
          <w:sz w:val="20"/>
          <w:szCs w:val="20"/>
        </w:rPr>
        <w:t>Phone #:</w:t>
      </w:r>
      <w:r>
        <w:rPr>
          <w:sz w:val="20"/>
          <w:szCs w:val="20"/>
        </w:rPr>
        <w:tab/>
      </w:r>
      <w:r w:rsidR="003367C1">
        <w:rPr>
          <w:sz w:val="20"/>
          <w:szCs w:val="20"/>
        </w:rPr>
        <w:t xml:space="preserve"> 425-622-9400</w:t>
      </w:r>
      <w:r>
        <w:rPr>
          <w:sz w:val="20"/>
          <w:szCs w:val="20"/>
        </w:rPr>
        <w:tab/>
      </w:r>
      <w:r>
        <w:rPr>
          <w:sz w:val="20"/>
          <w:szCs w:val="20"/>
        </w:rPr>
        <w:tab/>
      </w:r>
      <w:r>
        <w:rPr>
          <w:sz w:val="20"/>
          <w:szCs w:val="20"/>
        </w:rPr>
        <w:tab/>
      </w:r>
      <w:r>
        <w:rPr>
          <w:sz w:val="20"/>
          <w:szCs w:val="20"/>
        </w:rPr>
        <w:tab/>
      </w:r>
      <w:r w:rsidR="00825B15">
        <w:rPr>
          <w:sz w:val="20"/>
          <w:szCs w:val="20"/>
        </w:rPr>
        <w:t>email</w:t>
      </w:r>
      <w:r>
        <w:rPr>
          <w:sz w:val="20"/>
          <w:szCs w:val="20"/>
        </w:rPr>
        <w:t xml:space="preserve"> address:</w:t>
      </w:r>
      <w:r w:rsidR="00606F88">
        <w:rPr>
          <w:sz w:val="20"/>
          <w:szCs w:val="20"/>
        </w:rPr>
        <w:t xml:space="preserve"> risk@lakestevenswa.gov</w:t>
      </w:r>
    </w:p>
    <w:p w14:paraId="04952B93" w14:textId="77777777" w:rsidR="00067E53" w:rsidRDefault="00067E53" w:rsidP="00067E53">
      <w:pPr>
        <w:pBdr>
          <w:bottom w:val="thinThickThinMediumGap" w:sz="18" w:space="1" w:color="auto"/>
        </w:pBdr>
        <w:jc w:val="both"/>
        <w:rPr>
          <w:sz w:val="18"/>
          <w:szCs w:val="18"/>
        </w:rPr>
      </w:pPr>
      <w:r w:rsidRPr="00067E53">
        <w:rPr>
          <w:sz w:val="18"/>
          <w:szCs w:val="18"/>
        </w:rPr>
        <w:t xml:space="preserve">*When the Title VI coordinator changes, notify </w:t>
      </w:r>
      <w:r w:rsidRPr="0028494B">
        <w:rPr>
          <w:sz w:val="18"/>
          <w:szCs w:val="18"/>
        </w:rPr>
        <w:t>TitleVI@WSDOT.wa.gov</w:t>
      </w:r>
      <w:r w:rsidR="0054017F" w:rsidRPr="00BC14DF">
        <w:rPr>
          <w:rStyle w:val="Hyperlink"/>
          <w:sz w:val="18"/>
          <w:szCs w:val="18"/>
          <w:u w:val="none"/>
        </w:rPr>
        <w:t xml:space="preserve"> </w:t>
      </w:r>
      <w:r w:rsidRPr="00067E53">
        <w:rPr>
          <w:sz w:val="18"/>
          <w:szCs w:val="18"/>
        </w:rPr>
        <w:t>within 30 days.</w:t>
      </w:r>
    </w:p>
    <w:p w14:paraId="69B54AAA" w14:textId="77777777" w:rsidR="00067E53" w:rsidRDefault="00067E53" w:rsidP="00F66090">
      <w:pPr>
        <w:jc w:val="both"/>
      </w:pPr>
      <w:r w:rsidRPr="00D92BFA">
        <w:rPr>
          <w:spacing w:val="12"/>
        </w:rPr>
        <w:t xml:space="preserve">To </w:t>
      </w:r>
      <w:r w:rsidR="00C05505">
        <w:rPr>
          <w:spacing w:val="12"/>
        </w:rPr>
        <w:t>comply</w:t>
      </w:r>
      <w:r w:rsidRPr="00D92BFA">
        <w:rPr>
          <w:spacing w:val="12"/>
        </w:rPr>
        <w:t xml:space="preserve"> with Title VI requirements, each annual report submission must include</w:t>
      </w:r>
      <w:r w:rsidR="00F66090">
        <w:rPr>
          <w:spacing w:val="12"/>
        </w:rPr>
        <w:t xml:space="preserve"> signed </w:t>
      </w:r>
      <w:r w:rsidR="00C6263D">
        <w:t xml:space="preserve">Standard </w:t>
      </w:r>
      <w:r w:rsidRPr="00D92BFA">
        <w:t xml:space="preserve">Assurances </w:t>
      </w:r>
      <w:r w:rsidR="00C6263D">
        <w:t>(USDOT1050.2A</w:t>
      </w:r>
      <w:r w:rsidR="00175C46">
        <w:t>)</w:t>
      </w:r>
      <w:r w:rsidR="00175C46" w:rsidRPr="00D92BFA">
        <w:t>.</w:t>
      </w:r>
    </w:p>
    <w:p w14:paraId="6AFE58A9" w14:textId="77777777" w:rsidR="00670F38" w:rsidRPr="00670F38" w:rsidRDefault="00670F38" w:rsidP="00F66090">
      <w:pPr>
        <w:jc w:val="both"/>
        <w:rPr>
          <w:b/>
        </w:rPr>
      </w:pPr>
      <w:r>
        <w:rPr>
          <w:b/>
        </w:rPr>
        <w:t>Accomplishments</w:t>
      </w:r>
    </w:p>
    <w:p w14:paraId="3A9C43BB" w14:textId="5F022596" w:rsidR="00825B15" w:rsidRDefault="00825B15" w:rsidP="00576E7A">
      <w:pPr>
        <w:pStyle w:val="ListParagraph"/>
        <w:numPr>
          <w:ilvl w:val="0"/>
          <w:numId w:val="2"/>
        </w:numPr>
        <w:spacing w:after="240" w:line="240" w:lineRule="auto"/>
        <w:contextualSpacing w:val="0"/>
        <w:jc w:val="both"/>
      </w:pPr>
      <w:r>
        <w:t xml:space="preserve">Have </w:t>
      </w:r>
      <w:r w:rsidR="00670F38">
        <w:t xml:space="preserve">there been </w:t>
      </w:r>
      <w:r w:rsidR="00067E53" w:rsidRPr="00D92BFA">
        <w:t xml:space="preserve">any changes to the approved Title VI </w:t>
      </w:r>
      <w:r w:rsidR="00C05505" w:rsidRPr="00D92BFA">
        <w:t>Plan</w:t>
      </w:r>
      <w:r w:rsidR="00C05505">
        <w:t xml:space="preserve"> that</w:t>
      </w:r>
      <w:r w:rsidR="00670F38">
        <w:t xml:space="preserve"> have </w:t>
      </w:r>
      <w:r>
        <w:t xml:space="preserve">not been reported to </w:t>
      </w:r>
      <w:r w:rsidR="00B7086E">
        <w:t>OE</w:t>
      </w:r>
      <w:r w:rsidR="00BD55CD">
        <w:t>CR</w:t>
      </w:r>
      <w:r>
        <w:t xml:space="preserve">? </w:t>
      </w:r>
    </w:p>
    <w:p w14:paraId="39ED6C5B" w14:textId="22F25A70" w:rsidR="007D18B6" w:rsidRDefault="007D18B6" w:rsidP="007D18B6">
      <w:pPr>
        <w:pStyle w:val="ListParagraph"/>
        <w:spacing w:after="240" w:line="240" w:lineRule="auto"/>
        <w:ind w:left="360"/>
        <w:contextualSpacing w:val="0"/>
        <w:jc w:val="both"/>
      </w:pPr>
      <w:r w:rsidRPr="00606F88">
        <w:t>No</w:t>
      </w:r>
      <w:r w:rsidR="001E3584">
        <w:t>.</w:t>
      </w:r>
    </w:p>
    <w:p w14:paraId="17DF2BFC" w14:textId="3CF91A8F" w:rsidR="00825B15" w:rsidRDefault="00067E53" w:rsidP="00576E7A">
      <w:pPr>
        <w:pStyle w:val="ListParagraph"/>
        <w:numPr>
          <w:ilvl w:val="0"/>
          <w:numId w:val="2"/>
        </w:numPr>
        <w:spacing w:after="240" w:line="240" w:lineRule="auto"/>
        <w:contextualSpacing w:val="0"/>
        <w:jc w:val="both"/>
      </w:pPr>
      <w:r w:rsidRPr="00D92BFA">
        <w:t>Organization, Staffing, Structure</w:t>
      </w:r>
      <w:r w:rsidR="002910F5">
        <w:t>:</w:t>
      </w:r>
      <w:r w:rsidRPr="00D92BFA">
        <w:t xml:space="preserve"> Describe the Title VI Program reporting structure including the Title VI Coordinator, </w:t>
      </w:r>
      <w:r w:rsidR="00825B15">
        <w:t>Administrative Head, and transportation-related</w:t>
      </w:r>
      <w:r w:rsidRPr="00D92BFA">
        <w:t xml:space="preserve"> staff. </w:t>
      </w:r>
      <w:r w:rsidR="0081175F">
        <w:t>T</w:t>
      </w:r>
      <w:r w:rsidR="00825B15">
        <w:t xml:space="preserve">he list </w:t>
      </w:r>
      <w:r w:rsidR="0081175F">
        <w:t xml:space="preserve">should </w:t>
      </w:r>
      <w:r w:rsidR="00825B15">
        <w:t>include</w:t>
      </w:r>
      <w:r w:rsidR="00133EB0">
        <w:t xml:space="preserve"> name,</w:t>
      </w:r>
      <w:r w:rsidR="00825B15">
        <w:t xml:space="preserve"> race, color, and national origin of each individual. I</w:t>
      </w:r>
      <w:r w:rsidR="0081175F">
        <w:t>nclude the same details i</w:t>
      </w:r>
      <w:r w:rsidR="00825B15">
        <w:t xml:space="preserve">f your LPA has a </w:t>
      </w:r>
      <w:r w:rsidR="00C05505">
        <w:t>volunteer or</w:t>
      </w:r>
      <w:r w:rsidR="00E6720B">
        <w:t xml:space="preserve"> appointed </w:t>
      </w:r>
      <w:r w:rsidR="00825B15">
        <w:t>board related to transportation decision making.</w:t>
      </w:r>
    </w:p>
    <w:tbl>
      <w:tblPr>
        <w:tblStyle w:val="GridTable1Light"/>
        <w:tblW w:w="0" w:type="auto"/>
        <w:tblLook w:val="04A0" w:firstRow="1" w:lastRow="0" w:firstColumn="1" w:lastColumn="0" w:noHBand="0" w:noVBand="1"/>
      </w:tblPr>
      <w:tblGrid>
        <w:gridCol w:w="1798"/>
        <w:gridCol w:w="1798"/>
        <w:gridCol w:w="1798"/>
        <w:gridCol w:w="1798"/>
        <w:gridCol w:w="1798"/>
      </w:tblGrid>
      <w:tr w:rsidR="00457F27" w14:paraId="62B20DC5" w14:textId="77777777" w:rsidTr="00C5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0BB4CA5D" w14:textId="77777777" w:rsidR="00457F27" w:rsidRDefault="00457F27" w:rsidP="00C57C5F">
            <w:pPr>
              <w:pStyle w:val="ListParagraph"/>
              <w:spacing w:after="240"/>
              <w:ind w:left="0"/>
              <w:contextualSpacing w:val="0"/>
              <w:jc w:val="both"/>
            </w:pPr>
            <w:r>
              <w:t>Title VI Role/Title</w:t>
            </w:r>
          </w:p>
        </w:tc>
        <w:tc>
          <w:tcPr>
            <w:tcW w:w="1798" w:type="dxa"/>
          </w:tcPr>
          <w:p w14:paraId="31C40D0E" w14:textId="77777777" w:rsidR="00457F27" w:rsidRDefault="00457F27" w:rsidP="00C57C5F">
            <w:pPr>
              <w:pStyle w:val="ListParagraph"/>
              <w:spacing w:after="240"/>
              <w:ind w:left="0"/>
              <w:contextualSpacing w:val="0"/>
              <w:jc w:val="both"/>
              <w:cnfStyle w:val="100000000000" w:firstRow="1" w:lastRow="0" w:firstColumn="0" w:lastColumn="0" w:oddVBand="0" w:evenVBand="0" w:oddHBand="0" w:evenHBand="0" w:firstRowFirstColumn="0" w:firstRowLastColumn="0" w:lastRowFirstColumn="0" w:lastRowLastColumn="0"/>
            </w:pPr>
            <w:r>
              <w:t>Name</w:t>
            </w:r>
          </w:p>
        </w:tc>
        <w:tc>
          <w:tcPr>
            <w:tcW w:w="1798" w:type="dxa"/>
          </w:tcPr>
          <w:p w14:paraId="49359F90" w14:textId="77777777" w:rsidR="00457F27" w:rsidRDefault="00457F27" w:rsidP="00C57C5F">
            <w:pPr>
              <w:pStyle w:val="ListParagraph"/>
              <w:spacing w:after="240"/>
              <w:ind w:left="0"/>
              <w:contextualSpacing w:val="0"/>
              <w:jc w:val="both"/>
              <w:cnfStyle w:val="100000000000" w:firstRow="1" w:lastRow="0" w:firstColumn="0" w:lastColumn="0" w:oddVBand="0" w:evenVBand="0" w:oddHBand="0" w:evenHBand="0" w:firstRowFirstColumn="0" w:firstRowLastColumn="0" w:lastRowFirstColumn="0" w:lastRowLastColumn="0"/>
            </w:pPr>
            <w:r>
              <w:t>Race</w:t>
            </w:r>
          </w:p>
        </w:tc>
        <w:tc>
          <w:tcPr>
            <w:tcW w:w="1798" w:type="dxa"/>
          </w:tcPr>
          <w:p w14:paraId="29372A1C" w14:textId="77777777" w:rsidR="00457F27" w:rsidRDefault="00457F27" w:rsidP="00C57C5F">
            <w:pPr>
              <w:pStyle w:val="ListParagraph"/>
              <w:spacing w:after="240"/>
              <w:ind w:left="0"/>
              <w:contextualSpacing w:val="0"/>
              <w:jc w:val="both"/>
              <w:cnfStyle w:val="100000000000" w:firstRow="1" w:lastRow="0" w:firstColumn="0" w:lastColumn="0" w:oddVBand="0" w:evenVBand="0" w:oddHBand="0" w:evenHBand="0" w:firstRowFirstColumn="0" w:firstRowLastColumn="0" w:lastRowFirstColumn="0" w:lastRowLastColumn="0"/>
            </w:pPr>
            <w:r>
              <w:t>Color</w:t>
            </w:r>
          </w:p>
        </w:tc>
        <w:tc>
          <w:tcPr>
            <w:tcW w:w="1798" w:type="dxa"/>
          </w:tcPr>
          <w:p w14:paraId="445742FF" w14:textId="77777777" w:rsidR="00457F27" w:rsidRDefault="00457F27" w:rsidP="00C57C5F">
            <w:pPr>
              <w:pStyle w:val="ListParagraph"/>
              <w:spacing w:after="240"/>
              <w:ind w:left="0"/>
              <w:contextualSpacing w:val="0"/>
              <w:jc w:val="both"/>
              <w:cnfStyle w:val="100000000000" w:firstRow="1" w:lastRow="0" w:firstColumn="0" w:lastColumn="0" w:oddVBand="0" w:evenVBand="0" w:oddHBand="0" w:evenHBand="0" w:firstRowFirstColumn="0" w:firstRowLastColumn="0" w:lastRowFirstColumn="0" w:lastRowLastColumn="0"/>
            </w:pPr>
            <w:r>
              <w:t>National Origin</w:t>
            </w:r>
          </w:p>
        </w:tc>
      </w:tr>
      <w:tr w:rsidR="00457F27" w14:paraId="48AC351B" w14:textId="77777777" w:rsidTr="00C57C5F">
        <w:tc>
          <w:tcPr>
            <w:cnfStyle w:val="001000000000" w:firstRow="0" w:lastRow="0" w:firstColumn="1" w:lastColumn="0" w:oddVBand="0" w:evenVBand="0" w:oddHBand="0" w:evenHBand="0" w:firstRowFirstColumn="0" w:firstRowLastColumn="0" w:lastRowFirstColumn="0" w:lastRowLastColumn="0"/>
            <w:tcW w:w="1798" w:type="dxa"/>
          </w:tcPr>
          <w:p w14:paraId="63C7364D" w14:textId="77777777" w:rsidR="00457F27" w:rsidRDefault="00457F27" w:rsidP="00C57C5F">
            <w:pPr>
              <w:pStyle w:val="ListParagraph"/>
              <w:spacing w:after="240"/>
              <w:ind w:left="0"/>
              <w:contextualSpacing w:val="0"/>
              <w:jc w:val="both"/>
            </w:pPr>
            <w:r>
              <w:lastRenderedPageBreak/>
              <w:t>Administrative Head</w:t>
            </w:r>
          </w:p>
        </w:tc>
        <w:tc>
          <w:tcPr>
            <w:tcW w:w="1798" w:type="dxa"/>
          </w:tcPr>
          <w:p w14:paraId="6C7B0BDA" w14:textId="77777777" w:rsidR="00457F27" w:rsidRDefault="00457F27" w:rsidP="00C57C5F">
            <w:pPr>
              <w:pStyle w:val="ListParagraph"/>
              <w:spacing w:after="240"/>
              <w:ind w:left="0"/>
              <w:contextualSpacing w:val="0"/>
              <w:jc w:val="both"/>
              <w:cnfStyle w:val="000000000000" w:firstRow="0" w:lastRow="0" w:firstColumn="0" w:lastColumn="0" w:oddVBand="0" w:evenVBand="0" w:oddHBand="0" w:evenHBand="0" w:firstRowFirstColumn="0" w:firstRowLastColumn="0" w:lastRowFirstColumn="0" w:lastRowLastColumn="0"/>
            </w:pPr>
            <w:r>
              <w:t>Gene Brazel</w:t>
            </w:r>
          </w:p>
        </w:tc>
        <w:tc>
          <w:tcPr>
            <w:tcW w:w="1798" w:type="dxa"/>
          </w:tcPr>
          <w:p w14:paraId="478288E8" w14:textId="77777777" w:rsidR="00457F27" w:rsidRDefault="00457F27" w:rsidP="00C57C5F">
            <w:pPr>
              <w:pStyle w:val="ListParagraph"/>
              <w:spacing w:after="240"/>
              <w:ind w:left="0"/>
              <w:contextualSpacing w:val="0"/>
              <w:jc w:val="both"/>
              <w:cnfStyle w:val="000000000000" w:firstRow="0" w:lastRow="0" w:firstColumn="0" w:lastColumn="0" w:oddVBand="0" w:evenVBand="0" w:oddHBand="0" w:evenHBand="0" w:firstRowFirstColumn="0" w:firstRowLastColumn="0" w:lastRowFirstColumn="0" w:lastRowLastColumn="0"/>
            </w:pPr>
            <w:r>
              <w:t>White</w:t>
            </w:r>
          </w:p>
        </w:tc>
        <w:tc>
          <w:tcPr>
            <w:tcW w:w="1798" w:type="dxa"/>
          </w:tcPr>
          <w:p w14:paraId="75CAF688" w14:textId="77777777" w:rsidR="00457F27" w:rsidRDefault="00457F27" w:rsidP="00C57C5F">
            <w:pPr>
              <w:pStyle w:val="ListParagraph"/>
              <w:spacing w:after="240"/>
              <w:ind w:left="0"/>
              <w:contextualSpacing w:val="0"/>
              <w:jc w:val="both"/>
              <w:cnfStyle w:val="000000000000" w:firstRow="0" w:lastRow="0" w:firstColumn="0" w:lastColumn="0" w:oddVBand="0" w:evenVBand="0" w:oddHBand="0" w:evenHBand="0" w:firstRowFirstColumn="0" w:firstRowLastColumn="0" w:lastRowFirstColumn="0" w:lastRowLastColumn="0"/>
            </w:pPr>
            <w:r>
              <w:t>White</w:t>
            </w:r>
          </w:p>
        </w:tc>
        <w:tc>
          <w:tcPr>
            <w:tcW w:w="1798" w:type="dxa"/>
          </w:tcPr>
          <w:p w14:paraId="0660BFD6" w14:textId="77777777" w:rsidR="00457F27" w:rsidRDefault="00457F27" w:rsidP="00C57C5F">
            <w:pPr>
              <w:pStyle w:val="ListParagraph"/>
              <w:spacing w:after="240"/>
              <w:ind w:left="0"/>
              <w:contextualSpacing w:val="0"/>
              <w:jc w:val="both"/>
              <w:cnfStyle w:val="000000000000" w:firstRow="0" w:lastRow="0" w:firstColumn="0" w:lastColumn="0" w:oddVBand="0" w:evenVBand="0" w:oddHBand="0" w:evenHBand="0" w:firstRowFirstColumn="0" w:firstRowLastColumn="0" w:lastRowFirstColumn="0" w:lastRowLastColumn="0"/>
            </w:pPr>
            <w:r>
              <w:t>United States</w:t>
            </w:r>
          </w:p>
        </w:tc>
      </w:tr>
      <w:tr w:rsidR="00457F27" w14:paraId="5C599048" w14:textId="77777777" w:rsidTr="00C57C5F">
        <w:tc>
          <w:tcPr>
            <w:cnfStyle w:val="001000000000" w:firstRow="0" w:lastRow="0" w:firstColumn="1" w:lastColumn="0" w:oddVBand="0" w:evenVBand="0" w:oddHBand="0" w:evenHBand="0" w:firstRowFirstColumn="0" w:firstRowLastColumn="0" w:lastRowFirstColumn="0" w:lastRowLastColumn="0"/>
            <w:tcW w:w="1798" w:type="dxa"/>
          </w:tcPr>
          <w:p w14:paraId="117E27C6" w14:textId="77777777" w:rsidR="00457F27" w:rsidRDefault="00457F27" w:rsidP="00C57C5F">
            <w:pPr>
              <w:pStyle w:val="ListParagraph"/>
              <w:spacing w:after="240"/>
              <w:ind w:left="0"/>
              <w:contextualSpacing w:val="0"/>
              <w:jc w:val="both"/>
            </w:pPr>
            <w:r>
              <w:t>Transportation Staff</w:t>
            </w:r>
          </w:p>
        </w:tc>
        <w:tc>
          <w:tcPr>
            <w:tcW w:w="1798" w:type="dxa"/>
          </w:tcPr>
          <w:p w14:paraId="2FC89E0A" w14:textId="77777777" w:rsidR="00457F27" w:rsidRDefault="00457F27" w:rsidP="00C57C5F">
            <w:pPr>
              <w:pStyle w:val="ListParagraph"/>
              <w:spacing w:after="240"/>
              <w:ind w:left="0"/>
              <w:contextualSpacing w:val="0"/>
              <w:jc w:val="both"/>
              <w:cnfStyle w:val="000000000000" w:firstRow="0" w:lastRow="0" w:firstColumn="0" w:lastColumn="0" w:oddVBand="0" w:evenVBand="0" w:oddHBand="0" w:evenHBand="0" w:firstRowFirstColumn="0" w:firstRowLastColumn="0" w:lastRowFirstColumn="0" w:lastRowLastColumn="0"/>
            </w:pPr>
            <w:r>
              <w:t>Aaron Halverson</w:t>
            </w:r>
          </w:p>
        </w:tc>
        <w:tc>
          <w:tcPr>
            <w:tcW w:w="1798" w:type="dxa"/>
          </w:tcPr>
          <w:p w14:paraId="3E63A792" w14:textId="77777777" w:rsidR="00457F27" w:rsidRDefault="00457F27" w:rsidP="00C57C5F">
            <w:pPr>
              <w:pStyle w:val="ListParagraph"/>
              <w:spacing w:after="240"/>
              <w:ind w:left="0"/>
              <w:contextualSpacing w:val="0"/>
              <w:jc w:val="both"/>
              <w:cnfStyle w:val="000000000000" w:firstRow="0" w:lastRow="0" w:firstColumn="0" w:lastColumn="0" w:oddVBand="0" w:evenVBand="0" w:oddHBand="0" w:evenHBand="0" w:firstRowFirstColumn="0" w:firstRowLastColumn="0" w:lastRowFirstColumn="0" w:lastRowLastColumn="0"/>
            </w:pPr>
            <w:r>
              <w:t>White</w:t>
            </w:r>
          </w:p>
        </w:tc>
        <w:tc>
          <w:tcPr>
            <w:tcW w:w="1798" w:type="dxa"/>
          </w:tcPr>
          <w:p w14:paraId="10205FE3" w14:textId="77777777" w:rsidR="00457F27" w:rsidRDefault="00457F27" w:rsidP="00C57C5F">
            <w:pPr>
              <w:pStyle w:val="ListParagraph"/>
              <w:spacing w:after="240"/>
              <w:ind w:left="0"/>
              <w:contextualSpacing w:val="0"/>
              <w:jc w:val="both"/>
              <w:cnfStyle w:val="000000000000" w:firstRow="0" w:lastRow="0" w:firstColumn="0" w:lastColumn="0" w:oddVBand="0" w:evenVBand="0" w:oddHBand="0" w:evenHBand="0" w:firstRowFirstColumn="0" w:firstRowLastColumn="0" w:lastRowFirstColumn="0" w:lastRowLastColumn="0"/>
            </w:pPr>
            <w:r>
              <w:t>White</w:t>
            </w:r>
          </w:p>
        </w:tc>
        <w:tc>
          <w:tcPr>
            <w:tcW w:w="1798" w:type="dxa"/>
          </w:tcPr>
          <w:p w14:paraId="450B44C2" w14:textId="77777777" w:rsidR="00457F27" w:rsidRDefault="00457F27" w:rsidP="00C57C5F">
            <w:pPr>
              <w:pStyle w:val="ListParagraph"/>
              <w:spacing w:after="240"/>
              <w:ind w:left="0"/>
              <w:contextualSpacing w:val="0"/>
              <w:jc w:val="both"/>
              <w:cnfStyle w:val="000000000000" w:firstRow="0" w:lastRow="0" w:firstColumn="0" w:lastColumn="0" w:oddVBand="0" w:evenVBand="0" w:oddHBand="0" w:evenHBand="0" w:firstRowFirstColumn="0" w:firstRowLastColumn="0" w:lastRowFirstColumn="0" w:lastRowLastColumn="0"/>
            </w:pPr>
            <w:r>
              <w:t>United States</w:t>
            </w:r>
          </w:p>
        </w:tc>
      </w:tr>
      <w:tr w:rsidR="00457F27" w14:paraId="78DE2F4D" w14:textId="77777777" w:rsidTr="00C57C5F">
        <w:tc>
          <w:tcPr>
            <w:cnfStyle w:val="001000000000" w:firstRow="0" w:lastRow="0" w:firstColumn="1" w:lastColumn="0" w:oddVBand="0" w:evenVBand="0" w:oddHBand="0" w:evenHBand="0" w:firstRowFirstColumn="0" w:firstRowLastColumn="0" w:lastRowFirstColumn="0" w:lastRowLastColumn="0"/>
            <w:tcW w:w="1798" w:type="dxa"/>
          </w:tcPr>
          <w:p w14:paraId="7300F0C5" w14:textId="77777777" w:rsidR="00457F27" w:rsidRDefault="00457F27" w:rsidP="00C57C5F">
            <w:pPr>
              <w:pStyle w:val="ListParagraph"/>
              <w:spacing w:after="240"/>
              <w:ind w:left="0"/>
              <w:contextualSpacing w:val="0"/>
            </w:pPr>
            <w:r>
              <w:t>Title VI Coordinator</w:t>
            </w:r>
          </w:p>
        </w:tc>
        <w:tc>
          <w:tcPr>
            <w:tcW w:w="1798" w:type="dxa"/>
          </w:tcPr>
          <w:p w14:paraId="0621B4E0" w14:textId="77777777" w:rsidR="00457F27" w:rsidRDefault="00457F27" w:rsidP="00C57C5F">
            <w:pPr>
              <w:pStyle w:val="ListParagraph"/>
              <w:spacing w:after="240"/>
              <w:ind w:left="0"/>
              <w:contextualSpacing w:val="0"/>
              <w:jc w:val="both"/>
              <w:cnfStyle w:val="000000000000" w:firstRow="0" w:lastRow="0" w:firstColumn="0" w:lastColumn="0" w:oddVBand="0" w:evenVBand="0" w:oddHBand="0" w:evenHBand="0" w:firstRowFirstColumn="0" w:firstRowLastColumn="0" w:lastRowFirstColumn="0" w:lastRowLastColumn="0"/>
            </w:pPr>
            <w:r>
              <w:t>Max Roth</w:t>
            </w:r>
          </w:p>
        </w:tc>
        <w:tc>
          <w:tcPr>
            <w:tcW w:w="1798" w:type="dxa"/>
          </w:tcPr>
          <w:p w14:paraId="562499DD" w14:textId="77777777" w:rsidR="00457F27" w:rsidRDefault="00457F27" w:rsidP="00C57C5F">
            <w:pPr>
              <w:pStyle w:val="ListParagraph"/>
              <w:spacing w:after="240"/>
              <w:ind w:left="0"/>
              <w:contextualSpacing w:val="0"/>
              <w:jc w:val="both"/>
              <w:cnfStyle w:val="000000000000" w:firstRow="0" w:lastRow="0" w:firstColumn="0" w:lastColumn="0" w:oddVBand="0" w:evenVBand="0" w:oddHBand="0" w:evenHBand="0" w:firstRowFirstColumn="0" w:firstRowLastColumn="0" w:lastRowFirstColumn="0" w:lastRowLastColumn="0"/>
            </w:pPr>
            <w:r>
              <w:t>White</w:t>
            </w:r>
          </w:p>
        </w:tc>
        <w:tc>
          <w:tcPr>
            <w:tcW w:w="1798" w:type="dxa"/>
          </w:tcPr>
          <w:p w14:paraId="552F9EBB" w14:textId="77777777" w:rsidR="00457F27" w:rsidRDefault="00457F27" w:rsidP="00C57C5F">
            <w:pPr>
              <w:pStyle w:val="ListParagraph"/>
              <w:spacing w:after="240"/>
              <w:ind w:left="0"/>
              <w:contextualSpacing w:val="0"/>
              <w:jc w:val="both"/>
              <w:cnfStyle w:val="000000000000" w:firstRow="0" w:lastRow="0" w:firstColumn="0" w:lastColumn="0" w:oddVBand="0" w:evenVBand="0" w:oddHBand="0" w:evenHBand="0" w:firstRowFirstColumn="0" w:firstRowLastColumn="0" w:lastRowFirstColumn="0" w:lastRowLastColumn="0"/>
            </w:pPr>
            <w:r>
              <w:t>White</w:t>
            </w:r>
          </w:p>
        </w:tc>
        <w:tc>
          <w:tcPr>
            <w:tcW w:w="1798" w:type="dxa"/>
          </w:tcPr>
          <w:p w14:paraId="1EE957E8" w14:textId="77777777" w:rsidR="00457F27" w:rsidRDefault="00457F27" w:rsidP="00C57C5F">
            <w:pPr>
              <w:pStyle w:val="ListParagraph"/>
              <w:spacing w:after="240"/>
              <w:ind w:left="0"/>
              <w:contextualSpacing w:val="0"/>
              <w:jc w:val="both"/>
              <w:cnfStyle w:val="000000000000" w:firstRow="0" w:lastRow="0" w:firstColumn="0" w:lastColumn="0" w:oddVBand="0" w:evenVBand="0" w:oddHBand="0" w:evenHBand="0" w:firstRowFirstColumn="0" w:firstRowLastColumn="0" w:lastRowFirstColumn="0" w:lastRowLastColumn="0"/>
            </w:pPr>
            <w:r>
              <w:t>Austria</w:t>
            </w:r>
          </w:p>
        </w:tc>
      </w:tr>
    </w:tbl>
    <w:p w14:paraId="6DFC8630" w14:textId="77777777" w:rsidR="00457F27" w:rsidRDefault="00457F27" w:rsidP="00457F27">
      <w:pPr>
        <w:pStyle w:val="ListParagraph"/>
        <w:spacing w:after="240" w:line="240" w:lineRule="auto"/>
        <w:ind w:left="360"/>
        <w:contextualSpacing w:val="0"/>
        <w:jc w:val="both"/>
      </w:pPr>
    </w:p>
    <w:p w14:paraId="372AC630" w14:textId="4B56F726" w:rsidR="00214D5A" w:rsidRDefault="00214D5A" w:rsidP="000B7957">
      <w:pPr>
        <w:pStyle w:val="ListParagraph"/>
        <w:numPr>
          <w:ilvl w:val="0"/>
          <w:numId w:val="2"/>
        </w:numPr>
        <w:spacing w:after="240" w:line="240" w:lineRule="auto"/>
        <w:jc w:val="both"/>
      </w:pPr>
      <w:r>
        <w:t>Community Demographics: Using a map of the LPA’s boundaries, describe the demographics of the LPA’s service area (e.g., race, ethnicity</w:t>
      </w:r>
      <w:r w:rsidR="00A13E9F">
        <w:t xml:space="preserve">, and </w:t>
      </w:r>
      <w:r>
        <w:t xml:space="preserve">national origin). List, by individual languages, the percentage of the population who is Limited English proficient. If the LPA’s Limited English proficient population is 5% of the total population or 1,000 individuals, whichever is less, explain the Four-Factor Analysis by answering the statements listed </w:t>
      </w:r>
      <w:r w:rsidR="00A13E9F">
        <w:t>on the next page</w:t>
      </w:r>
      <w:r>
        <w:t xml:space="preserve">. </w:t>
      </w:r>
    </w:p>
    <w:p w14:paraId="634AE599" w14:textId="77777777" w:rsidR="000B7957" w:rsidRDefault="000B7957" w:rsidP="000B7957">
      <w:pPr>
        <w:pStyle w:val="ListParagraph"/>
        <w:spacing w:after="240" w:line="240" w:lineRule="auto"/>
        <w:ind w:left="360"/>
        <w:jc w:val="both"/>
      </w:pPr>
    </w:p>
    <w:p w14:paraId="09F35310" w14:textId="3F04E188" w:rsidR="00C57CF6" w:rsidRPr="00B25190" w:rsidRDefault="000B7957" w:rsidP="000B7957">
      <w:pPr>
        <w:pStyle w:val="ListParagraph"/>
        <w:spacing w:after="240" w:line="240" w:lineRule="auto"/>
        <w:ind w:left="360"/>
        <w:jc w:val="both"/>
      </w:pPr>
      <w:r w:rsidRPr="00B25190">
        <w:t>According to the United States Census (2024), the racial composition of the city</w:t>
      </w:r>
      <w:r w:rsidR="0040038C" w:rsidRPr="00B25190">
        <w:t xml:space="preserve"> is</w:t>
      </w:r>
      <w:r w:rsidRPr="00B25190">
        <w:t xml:space="preserve"> predominantly White (75.5%), followed by Hispanic/Latino (11.2%), Mixed Race (11%), and Asian (7.8%). Fourteen percent of households speak a language other than English at home. Among these, Spanish is the most common non-English language, spoken by 1.3% of the population.</w:t>
      </w:r>
    </w:p>
    <w:p w14:paraId="1E48D38C" w14:textId="77777777" w:rsidR="00D8122A" w:rsidRPr="00B25190" w:rsidRDefault="000B7957" w:rsidP="000B7957">
      <w:pPr>
        <w:pStyle w:val="ListParagraph"/>
        <w:spacing w:after="240" w:line="240" w:lineRule="auto"/>
        <w:ind w:left="360"/>
        <w:jc w:val="both"/>
      </w:pPr>
      <w:r w:rsidRPr="00B25190">
        <w:br/>
        <w:t>The majority of respondents are White (76.4%), the next largest group were those who preferred not to identify their race/ethnicity (16.1%), followed by Asian (5.5%), Hispanic or Latino (2.3%), Native American or Alaska Native (2.3%), and Black or African American (1.3%).</w:t>
      </w:r>
      <w:r w:rsidRPr="00B25190">
        <w:br/>
      </w:r>
    </w:p>
    <w:p w14:paraId="0992D55F" w14:textId="6AE85E53" w:rsidR="000B7957" w:rsidRDefault="000B7957" w:rsidP="000B7957">
      <w:pPr>
        <w:pStyle w:val="ListParagraph"/>
        <w:spacing w:after="240" w:line="240" w:lineRule="auto"/>
        <w:ind w:left="360"/>
        <w:jc w:val="both"/>
      </w:pPr>
      <w:r w:rsidRPr="00B25190">
        <w:t>The primary language for the majority of respondents is English (95.9%), followed by Spanish (1.3%).</w:t>
      </w:r>
      <w:r w:rsidRPr="00B25190">
        <w:br/>
        <w:t>The race and ethnicity responses in our survey are similar to those of the census data, with White, Asian, and Hispanic or Latino being the highest categories. Our findings in language match that of the census data, with Spanish being the most common non-English language.</w:t>
      </w:r>
    </w:p>
    <w:p w14:paraId="719B3B60" w14:textId="77777777" w:rsidR="0056537D" w:rsidRDefault="0056537D" w:rsidP="000B7957">
      <w:pPr>
        <w:pStyle w:val="ListParagraph"/>
        <w:spacing w:after="240" w:line="240" w:lineRule="auto"/>
        <w:ind w:left="360"/>
        <w:jc w:val="both"/>
      </w:pPr>
    </w:p>
    <w:p w14:paraId="539E839F" w14:textId="395B81D0" w:rsidR="0056537D" w:rsidRDefault="0056537D" w:rsidP="000B7957">
      <w:pPr>
        <w:pStyle w:val="ListParagraph"/>
        <w:spacing w:after="240" w:line="240" w:lineRule="auto"/>
        <w:ind w:left="360"/>
        <w:jc w:val="both"/>
      </w:pPr>
      <w:r w:rsidRPr="0056537D">
        <w:rPr>
          <w:noProof/>
        </w:rPr>
        <w:lastRenderedPageBreak/>
        <w:drawing>
          <wp:inline distT="0" distB="0" distL="0" distR="0" wp14:anchorId="068FD42B" wp14:editId="56CB33A9">
            <wp:extent cx="5839640" cy="7535327"/>
            <wp:effectExtent l="0" t="0" r="8890" b="8890"/>
            <wp:docPr id="2212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6347" name=""/>
                    <pic:cNvPicPr/>
                  </pic:nvPicPr>
                  <pic:blipFill>
                    <a:blip r:embed="rId11"/>
                    <a:stretch>
                      <a:fillRect/>
                    </a:stretch>
                  </pic:blipFill>
                  <pic:spPr>
                    <a:xfrm>
                      <a:off x="0" y="0"/>
                      <a:ext cx="5839640" cy="7535327"/>
                    </a:xfrm>
                    <a:prstGeom prst="rect">
                      <a:avLst/>
                    </a:prstGeom>
                  </pic:spPr>
                </pic:pic>
              </a:graphicData>
            </a:graphic>
          </wp:inline>
        </w:drawing>
      </w:r>
    </w:p>
    <w:p w14:paraId="68EC82F8" w14:textId="24AF9FA4" w:rsidR="00436ED2" w:rsidRDefault="00214D5A" w:rsidP="007C3AF8">
      <w:pPr>
        <w:spacing w:after="120" w:line="240" w:lineRule="auto"/>
        <w:ind w:left="720" w:hanging="360"/>
        <w:jc w:val="both"/>
      </w:pPr>
      <w:r>
        <w:t xml:space="preserve">    </w:t>
      </w:r>
      <w:r w:rsidR="000470E5">
        <w:rPr>
          <w:b/>
          <w:bCs/>
        </w:rPr>
        <w:t>The below questions are not applicable</w:t>
      </w:r>
      <w:r w:rsidR="000470E5">
        <w:t>. The limited English proficient population is less than 5%</w:t>
      </w:r>
    </w:p>
    <w:p w14:paraId="00EA38B7" w14:textId="46814979" w:rsidR="00214D5A" w:rsidRDefault="00214D5A" w:rsidP="007C3AF8">
      <w:pPr>
        <w:spacing w:after="120" w:line="240" w:lineRule="auto"/>
        <w:ind w:left="720" w:hanging="360"/>
        <w:jc w:val="both"/>
      </w:pPr>
      <w:r>
        <w:t xml:space="preserve">   </w:t>
      </w:r>
      <w:r w:rsidR="00576E7A">
        <w:t xml:space="preserve">1. </w:t>
      </w:r>
      <w:r>
        <w:t xml:space="preserve">Briefly describe the number of LEP </w:t>
      </w:r>
      <w:proofErr w:type="gramStart"/>
      <w:r>
        <w:t>persons</w:t>
      </w:r>
      <w:proofErr w:type="gramEnd"/>
      <w:r>
        <w:t xml:space="preserve"> served and languages spoken in the service area. </w:t>
      </w:r>
    </w:p>
    <w:p w14:paraId="556C6868" w14:textId="202EEAC0" w:rsidR="00214D5A" w:rsidRDefault="00576E7A" w:rsidP="007C3AF8">
      <w:pPr>
        <w:spacing w:after="120" w:line="240" w:lineRule="auto"/>
        <w:ind w:left="720"/>
        <w:jc w:val="both"/>
      </w:pPr>
      <w:r>
        <w:lastRenderedPageBreak/>
        <w:t xml:space="preserve">2. </w:t>
      </w:r>
      <w:r w:rsidR="00214D5A">
        <w:t xml:space="preserve">Briefly describe the frequency of contact with LEP </w:t>
      </w:r>
      <w:proofErr w:type="gramStart"/>
      <w:r w:rsidR="00214D5A">
        <w:t>persons</w:t>
      </w:r>
      <w:proofErr w:type="gramEnd"/>
      <w:r w:rsidR="00214D5A">
        <w:t xml:space="preserve"> for services or projects (e.g., </w:t>
      </w:r>
      <w:proofErr w:type="gramStart"/>
      <w:r w:rsidR="00214D5A">
        <w:t>customer  service</w:t>
      </w:r>
      <w:proofErr w:type="gramEnd"/>
      <w:r w:rsidR="00214D5A">
        <w:t xml:space="preserve"> interactions, public meetings, and contracts bidding and awarding).</w:t>
      </w:r>
    </w:p>
    <w:p w14:paraId="5EAC3DFC" w14:textId="74A20D85" w:rsidR="00214D5A" w:rsidRDefault="00576E7A" w:rsidP="007C3AF8">
      <w:pPr>
        <w:spacing w:after="120" w:line="240" w:lineRule="auto"/>
        <w:ind w:left="720"/>
        <w:jc w:val="both"/>
      </w:pPr>
      <w:r>
        <w:t xml:space="preserve">3. </w:t>
      </w:r>
      <w:r w:rsidR="00214D5A">
        <w:t xml:space="preserve">Briefly describe the importance of the program, activity, or service to the lives of LEP </w:t>
      </w:r>
      <w:proofErr w:type="gramStart"/>
      <w:r w:rsidR="00214D5A">
        <w:t>persons</w:t>
      </w:r>
      <w:proofErr w:type="gramEnd"/>
      <w:r w:rsidR="00214D5A">
        <w:t xml:space="preserve">. </w:t>
      </w:r>
    </w:p>
    <w:p w14:paraId="67A72E39" w14:textId="1D5674FC" w:rsidR="00E125D8" w:rsidRDefault="00576E7A" w:rsidP="007C3AF8">
      <w:pPr>
        <w:spacing w:after="240" w:line="240" w:lineRule="auto"/>
        <w:ind w:left="720"/>
        <w:jc w:val="both"/>
      </w:pPr>
      <w:r>
        <w:t xml:space="preserve">4. </w:t>
      </w:r>
      <w:r w:rsidR="00214D5A">
        <w:t xml:space="preserve">Briefly describe current resources available for LEP </w:t>
      </w:r>
      <w:proofErr w:type="gramStart"/>
      <w:r w:rsidR="00214D5A">
        <w:t>persons</w:t>
      </w:r>
      <w:proofErr w:type="gramEnd"/>
      <w:r w:rsidR="00214D5A">
        <w:t xml:space="preserve"> and overall cost.</w:t>
      </w:r>
    </w:p>
    <w:p w14:paraId="13A52C15" w14:textId="4249362F" w:rsidR="00670F38" w:rsidRDefault="00710D43" w:rsidP="00DA215E">
      <w:pPr>
        <w:spacing w:after="240" w:line="240" w:lineRule="auto"/>
        <w:ind w:left="360" w:hanging="360"/>
        <w:jc w:val="both"/>
      </w:pPr>
      <w:r>
        <w:t>4. Complaints</w:t>
      </w:r>
      <w:r w:rsidR="002910F5">
        <w:t xml:space="preserve">: </w:t>
      </w:r>
      <w:r w:rsidR="00670F38">
        <w:t>Provide a copy of the LPA’s</w:t>
      </w:r>
      <w:r>
        <w:t xml:space="preserve"> Title VI c</w:t>
      </w:r>
      <w:r w:rsidR="00067E53" w:rsidRPr="00D92BFA">
        <w:t>omplaint</w:t>
      </w:r>
      <w:r w:rsidR="00670F38">
        <w:t xml:space="preserve"> log, including new Title VI complaints </w:t>
      </w:r>
      <w:r w:rsidR="00BE6DD2">
        <w:t>received during</w:t>
      </w:r>
      <w:r w:rsidR="00067E53" w:rsidRPr="00D92BFA">
        <w:t xml:space="preserve"> this reporting period</w:t>
      </w:r>
      <w:r>
        <w:t xml:space="preserve"> and any still pending</w:t>
      </w:r>
      <w:r w:rsidR="00067E53" w:rsidRPr="00D92BFA">
        <w:t>. Include the basis of the complaint (</w:t>
      </w:r>
      <w:r w:rsidR="004C15E9">
        <w:t>race</w:t>
      </w:r>
      <w:r w:rsidR="00067E53" w:rsidRPr="00D92BFA">
        <w:t xml:space="preserve">, </w:t>
      </w:r>
      <w:r w:rsidR="00133EB0">
        <w:t xml:space="preserve">color, </w:t>
      </w:r>
      <w:r w:rsidR="0096523F">
        <w:t>national origin</w:t>
      </w:r>
      <w:r w:rsidR="00067E53" w:rsidRPr="00D92BFA">
        <w:t xml:space="preserve">) and </w:t>
      </w:r>
      <w:r>
        <w:t xml:space="preserve">describe the disposition </w:t>
      </w:r>
      <w:r w:rsidR="00670F38">
        <w:t>(status/outcome)</w:t>
      </w:r>
      <w:r w:rsidR="00067E53" w:rsidRPr="00D92BFA">
        <w:t xml:space="preserve">. </w:t>
      </w:r>
    </w:p>
    <w:p w14:paraId="248FD352" w14:textId="3633A5D3" w:rsidR="00DC45A6" w:rsidRDefault="00DC45A6" w:rsidP="00DA215E">
      <w:pPr>
        <w:spacing w:after="240" w:line="240" w:lineRule="auto"/>
        <w:ind w:left="360" w:hanging="360"/>
        <w:jc w:val="both"/>
      </w:pPr>
      <w:r w:rsidRPr="00B25190">
        <w:t>There were no complaints during this period</w:t>
      </w:r>
      <w:r w:rsidR="00B25190" w:rsidRPr="00B25190">
        <w:t>.</w:t>
      </w:r>
    </w:p>
    <w:p w14:paraId="4298E045" w14:textId="0DB09294" w:rsidR="00067E53" w:rsidRDefault="00710D43" w:rsidP="007C3AF8">
      <w:pPr>
        <w:spacing w:after="240" w:line="240" w:lineRule="auto"/>
        <w:ind w:left="360" w:hanging="360"/>
        <w:jc w:val="both"/>
      </w:pPr>
      <w:r>
        <w:t xml:space="preserve">5. </w:t>
      </w:r>
      <w:r w:rsidR="00067E53" w:rsidRPr="00D92BFA">
        <w:t>Planning</w:t>
      </w:r>
      <w:r w:rsidR="002910F5">
        <w:t>:</w:t>
      </w:r>
      <w:r w:rsidR="00067E53" w:rsidRPr="00D92BFA">
        <w:t xml:space="preserve"> Describe the</w:t>
      </w:r>
      <w:r>
        <w:t xml:space="preserve"> transportation</w:t>
      </w:r>
      <w:r w:rsidR="00D92BFA" w:rsidRPr="00D92BFA">
        <w:t xml:space="preserve"> </w:t>
      </w:r>
      <w:r w:rsidR="00067E53" w:rsidRPr="00D92BFA">
        <w:t>planning activities performed this reporting period.</w:t>
      </w:r>
      <w:r w:rsidR="00C6263D">
        <w:t xml:space="preserve"> </w:t>
      </w:r>
      <w:r w:rsidR="00067E53" w:rsidRPr="00D92BFA">
        <w:t>Describe the actions taken to promote Title VI compliance regarding</w:t>
      </w:r>
      <w:r>
        <w:t xml:space="preserve"> transportation</w:t>
      </w:r>
      <w:r w:rsidR="00067E53" w:rsidRPr="00D92BFA">
        <w:t xml:space="preserve"> planning, including </w:t>
      </w:r>
      <w:r w:rsidR="00395497" w:rsidRPr="00D92BFA">
        <w:t>monitoring</w:t>
      </w:r>
      <w:r w:rsidR="00067E53" w:rsidRPr="00D92BFA">
        <w:t xml:space="preserve"> and review </w:t>
      </w:r>
      <w:r w:rsidR="00395497" w:rsidRPr="00D92BFA">
        <w:t>processes</w:t>
      </w:r>
      <w:r w:rsidR="00067E53" w:rsidRPr="00D92BFA">
        <w:t>,</w:t>
      </w:r>
      <w:r w:rsidR="00133EB0">
        <w:t xml:space="preserve"> community involvement,</w:t>
      </w:r>
      <w:r w:rsidR="00067E53" w:rsidRPr="00D92BFA">
        <w:t xml:space="preserve"> their outcome or status</w:t>
      </w:r>
      <w:r w:rsidR="00133EB0">
        <w:t>. Include examples of community outreach.</w:t>
      </w:r>
    </w:p>
    <w:p w14:paraId="2B66A452" w14:textId="476F3B31" w:rsidR="00C510B1" w:rsidRPr="00455C4B" w:rsidRDefault="007134E3" w:rsidP="00C510B1">
      <w:pPr>
        <w:spacing w:after="240" w:line="240" w:lineRule="auto"/>
        <w:ind w:left="360" w:hanging="360"/>
        <w:jc w:val="both"/>
      </w:pPr>
      <w:r w:rsidRPr="00455C4B">
        <w:t xml:space="preserve">A </w:t>
      </w:r>
      <w:r w:rsidR="000D439B" w:rsidRPr="00455C4B">
        <w:t xml:space="preserve">Comprehensive Plan Update </w:t>
      </w:r>
      <w:r w:rsidRPr="00455C4B">
        <w:t xml:space="preserve">was conducted </w:t>
      </w:r>
      <w:r w:rsidR="000D439B" w:rsidRPr="00455C4B">
        <w:t>in 2024</w:t>
      </w:r>
      <w:r w:rsidRPr="00455C4B">
        <w:t>, which includes a transportation element.</w:t>
      </w:r>
      <w:r w:rsidR="005E002F" w:rsidRPr="00455C4B">
        <w:t xml:space="preserve"> </w:t>
      </w:r>
      <w:r w:rsidR="006902B6" w:rsidRPr="00455C4B">
        <w:t>Public engagement for the Comprehensive Plan Update included the following:</w:t>
      </w:r>
    </w:p>
    <w:p w14:paraId="64E21460" w14:textId="5B6E3B14" w:rsidR="00753A2C" w:rsidRPr="00455C4B" w:rsidRDefault="00753A2C" w:rsidP="009D7D64">
      <w:pPr>
        <w:pStyle w:val="ListParagraph"/>
        <w:numPr>
          <w:ilvl w:val="0"/>
          <w:numId w:val="3"/>
        </w:numPr>
        <w:spacing w:after="240" w:line="240" w:lineRule="auto"/>
        <w:jc w:val="both"/>
      </w:pPr>
      <w:r w:rsidRPr="00455C4B">
        <w:rPr>
          <w:b/>
          <w:bCs/>
        </w:rPr>
        <w:t>Public Participation Plan</w:t>
      </w:r>
    </w:p>
    <w:p w14:paraId="50348A3B" w14:textId="0EA41022" w:rsidR="00753A2C" w:rsidRPr="00455C4B" w:rsidRDefault="00753A2C" w:rsidP="00753A2C">
      <w:pPr>
        <w:numPr>
          <w:ilvl w:val="1"/>
          <w:numId w:val="3"/>
        </w:numPr>
        <w:spacing w:after="240" w:line="240" w:lineRule="auto"/>
        <w:jc w:val="both"/>
      </w:pPr>
      <w:r w:rsidRPr="00455C4B">
        <w:t xml:space="preserve">The city adopted a </w:t>
      </w:r>
      <w:r w:rsidRPr="00455C4B">
        <w:rPr>
          <w:i/>
          <w:iCs/>
        </w:rPr>
        <w:t>Public Participation Plan</w:t>
      </w:r>
      <w:r w:rsidRPr="00455C4B">
        <w:t xml:space="preserve"> (PPP) for the update.</w:t>
      </w:r>
    </w:p>
    <w:p w14:paraId="0AA7CDBB" w14:textId="26BB9F48" w:rsidR="00753A2C" w:rsidRPr="00455C4B" w:rsidRDefault="00753A2C" w:rsidP="00753A2C">
      <w:pPr>
        <w:numPr>
          <w:ilvl w:val="1"/>
          <w:numId w:val="3"/>
        </w:numPr>
        <w:spacing w:after="240" w:line="240" w:lineRule="auto"/>
        <w:jc w:val="both"/>
      </w:pPr>
      <w:r w:rsidRPr="00455C4B">
        <w:t xml:space="preserve">This plan identified different stakeholder groups: </w:t>
      </w:r>
      <w:r w:rsidRPr="00455C4B">
        <w:rPr>
          <w:i/>
          <w:iCs/>
        </w:rPr>
        <w:t>Key Partners</w:t>
      </w:r>
      <w:r w:rsidRPr="00455C4B">
        <w:t xml:space="preserve"> (e.g., Chamber of Commerce, Youth Advisory Council, affordable housing advocates, master builders, etc.) and a broader citywide audience. </w:t>
      </w:r>
    </w:p>
    <w:p w14:paraId="628C3FAB" w14:textId="419AAF5E" w:rsidR="00753A2C" w:rsidRPr="00455C4B" w:rsidRDefault="00753A2C" w:rsidP="00753A2C">
      <w:pPr>
        <w:numPr>
          <w:ilvl w:val="1"/>
          <w:numId w:val="3"/>
        </w:numPr>
        <w:spacing w:after="240" w:line="240" w:lineRule="auto"/>
        <w:jc w:val="both"/>
      </w:pPr>
      <w:r w:rsidRPr="00455C4B">
        <w:t xml:space="preserve">The PPP outlined tactics: open houses, webinars, surveys, a </w:t>
      </w:r>
      <w:proofErr w:type="spellStart"/>
      <w:r w:rsidRPr="00455C4B">
        <w:t>StoryMap</w:t>
      </w:r>
      <w:proofErr w:type="spellEnd"/>
      <w:r w:rsidRPr="00455C4B">
        <w:t>, meetings with key partners, and infographics.</w:t>
      </w:r>
    </w:p>
    <w:p w14:paraId="397380ED" w14:textId="4DF0B463" w:rsidR="00753A2C" w:rsidRPr="00455C4B" w:rsidRDefault="00753A2C" w:rsidP="00753A2C">
      <w:pPr>
        <w:numPr>
          <w:ilvl w:val="1"/>
          <w:numId w:val="3"/>
        </w:numPr>
        <w:spacing w:after="240" w:line="240" w:lineRule="auto"/>
        <w:jc w:val="both"/>
      </w:pPr>
      <w:r w:rsidRPr="00455C4B">
        <w:t>The</w:t>
      </w:r>
      <w:r w:rsidR="009D7D64" w:rsidRPr="00455C4B">
        <w:t xml:space="preserve"> City</w:t>
      </w:r>
      <w:r w:rsidRPr="00455C4B">
        <w:t xml:space="preserve"> </w:t>
      </w:r>
      <w:proofErr w:type="gramStart"/>
      <w:r w:rsidRPr="00455C4B">
        <w:t>committed</w:t>
      </w:r>
      <w:proofErr w:type="gramEnd"/>
      <w:r w:rsidRPr="00455C4B">
        <w:t xml:space="preserve"> to flexible, low-barrier participation (e.g., virtual options, ADA-accessible venues). </w:t>
      </w:r>
    </w:p>
    <w:p w14:paraId="1F25DCF7" w14:textId="3418E34C" w:rsidR="00753A2C" w:rsidRPr="00455C4B" w:rsidRDefault="00753A2C" w:rsidP="00753A2C">
      <w:pPr>
        <w:numPr>
          <w:ilvl w:val="1"/>
          <w:numId w:val="3"/>
        </w:numPr>
        <w:spacing w:after="240" w:line="240" w:lineRule="auto"/>
        <w:jc w:val="both"/>
      </w:pPr>
      <w:r w:rsidRPr="00455C4B">
        <w:t>There was a plan for a community survey (digital, accessible, translated).</w:t>
      </w:r>
    </w:p>
    <w:p w14:paraId="0A9AB38B" w14:textId="77777777" w:rsidR="00753A2C" w:rsidRPr="00455C4B" w:rsidRDefault="00753A2C" w:rsidP="00753A2C">
      <w:pPr>
        <w:numPr>
          <w:ilvl w:val="0"/>
          <w:numId w:val="3"/>
        </w:numPr>
        <w:spacing w:after="240" w:line="240" w:lineRule="auto"/>
        <w:jc w:val="both"/>
      </w:pPr>
      <w:r w:rsidRPr="00455C4B">
        <w:rPr>
          <w:b/>
          <w:bCs/>
        </w:rPr>
        <w:t>Open Houses</w:t>
      </w:r>
    </w:p>
    <w:p w14:paraId="6BE69DBB" w14:textId="4044FD4A" w:rsidR="00753A2C" w:rsidRPr="00455C4B" w:rsidRDefault="00753A2C" w:rsidP="00753A2C">
      <w:pPr>
        <w:numPr>
          <w:ilvl w:val="1"/>
          <w:numId w:val="3"/>
        </w:numPr>
        <w:spacing w:after="240" w:line="240" w:lineRule="auto"/>
        <w:jc w:val="both"/>
      </w:pPr>
      <w:r w:rsidRPr="00455C4B">
        <w:t xml:space="preserve">In </w:t>
      </w:r>
      <w:r w:rsidRPr="00455C4B">
        <w:rPr>
          <w:b/>
          <w:bCs/>
        </w:rPr>
        <w:t>June 2024</w:t>
      </w:r>
      <w:r w:rsidRPr="00455C4B">
        <w:t xml:space="preserve">, the Planning Commission held two open houses at </w:t>
      </w:r>
      <w:r w:rsidRPr="00455C4B">
        <w:rPr>
          <w:i/>
          <w:iCs/>
        </w:rPr>
        <w:t>The Mill</w:t>
      </w:r>
      <w:r w:rsidRPr="00455C4B">
        <w:t xml:space="preserve"> to collect public feedback: </w:t>
      </w:r>
    </w:p>
    <w:p w14:paraId="093DFEA8" w14:textId="40004433" w:rsidR="00753A2C" w:rsidRPr="00455C4B" w:rsidRDefault="00753A2C" w:rsidP="00753A2C">
      <w:pPr>
        <w:numPr>
          <w:ilvl w:val="2"/>
          <w:numId w:val="3"/>
        </w:numPr>
        <w:spacing w:after="240" w:line="240" w:lineRule="auto"/>
        <w:jc w:val="both"/>
      </w:pPr>
      <w:r w:rsidRPr="00455C4B">
        <w:rPr>
          <w:b/>
          <w:bCs/>
        </w:rPr>
        <w:t>June 3</w:t>
      </w:r>
      <w:r w:rsidRPr="00455C4B">
        <w:t xml:space="preserve"> — focused on </w:t>
      </w:r>
      <w:r w:rsidRPr="00455C4B">
        <w:rPr>
          <w:i/>
          <w:iCs/>
        </w:rPr>
        <w:t>Transportation</w:t>
      </w:r>
      <w:r w:rsidRPr="00455C4B">
        <w:t xml:space="preserve"> and </w:t>
      </w:r>
      <w:r w:rsidRPr="00455C4B">
        <w:rPr>
          <w:i/>
          <w:iCs/>
        </w:rPr>
        <w:t>Capital Facilities</w:t>
      </w:r>
      <w:r w:rsidRPr="00455C4B">
        <w:t xml:space="preserve">. Topics included projected growth, future conditions, road classifications, active transportation, capital projects, and draft policies. </w:t>
      </w:r>
    </w:p>
    <w:p w14:paraId="2A5F1FEA" w14:textId="44123D8C" w:rsidR="00753A2C" w:rsidRPr="00455C4B" w:rsidRDefault="00753A2C" w:rsidP="00753A2C">
      <w:pPr>
        <w:numPr>
          <w:ilvl w:val="2"/>
          <w:numId w:val="3"/>
        </w:numPr>
        <w:spacing w:after="240" w:line="240" w:lineRule="auto"/>
        <w:jc w:val="both"/>
      </w:pPr>
      <w:r w:rsidRPr="00455C4B">
        <w:rPr>
          <w:b/>
          <w:bCs/>
        </w:rPr>
        <w:t>June 17</w:t>
      </w:r>
      <w:r w:rsidRPr="00455C4B">
        <w:t xml:space="preserve"> — focused on </w:t>
      </w:r>
      <w:r w:rsidRPr="00455C4B">
        <w:rPr>
          <w:i/>
          <w:iCs/>
        </w:rPr>
        <w:t>Land Use</w:t>
      </w:r>
      <w:r w:rsidRPr="00455C4B">
        <w:t xml:space="preserve"> and </w:t>
      </w:r>
      <w:r w:rsidRPr="00455C4B">
        <w:rPr>
          <w:i/>
          <w:iCs/>
        </w:rPr>
        <w:t>Housing</w:t>
      </w:r>
      <w:r w:rsidRPr="00455C4B">
        <w:t xml:space="preserve">. Stations included potential map amendments, housing choice, affordability, recent state legislation, and equity. </w:t>
      </w:r>
    </w:p>
    <w:p w14:paraId="1E582648" w14:textId="12F912C1" w:rsidR="00753A2C" w:rsidRPr="00455C4B" w:rsidRDefault="00753A2C" w:rsidP="00753A2C">
      <w:pPr>
        <w:numPr>
          <w:ilvl w:val="1"/>
          <w:numId w:val="3"/>
        </w:numPr>
        <w:spacing w:after="240" w:line="240" w:lineRule="auto"/>
        <w:jc w:val="both"/>
      </w:pPr>
      <w:r w:rsidRPr="00455C4B">
        <w:t xml:space="preserve">These events were announced via the city’s news flashes / </w:t>
      </w:r>
      <w:proofErr w:type="spellStart"/>
      <w:r w:rsidRPr="00455C4B">
        <w:t>CivicAlerts</w:t>
      </w:r>
      <w:proofErr w:type="spellEnd"/>
      <w:r w:rsidRPr="00455C4B">
        <w:t xml:space="preserve">. </w:t>
      </w:r>
    </w:p>
    <w:p w14:paraId="36C15C91" w14:textId="77777777" w:rsidR="00753A2C" w:rsidRPr="00455C4B" w:rsidRDefault="00753A2C" w:rsidP="00753A2C">
      <w:pPr>
        <w:numPr>
          <w:ilvl w:val="0"/>
          <w:numId w:val="3"/>
        </w:numPr>
        <w:spacing w:after="240" w:line="240" w:lineRule="auto"/>
        <w:jc w:val="both"/>
      </w:pPr>
      <w:proofErr w:type="spellStart"/>
      <w:r w:rsidRPr="00455C4B">
        <w:rPr>
          <w:b/>
          <w:bCs/>
        </w:rPr>
        <w:lastRenderedPageBreak/>
        <w:t>StoryMap</w:t>
      </w:r>
      <w:proofErr w:type="spellEnd"/>
    </w:p>
    <w:p w14:paraId="3308FA4C" w14:textId="1A44BC87" w:rsidR="00753A2C" w:rsidRPr="00455C4B" w:rsidRDefault="00753A2C" w:rsidP="00753A2C">
      <w:pPr>
        <w:numPr>
          <w:ilvl w:val="1"/>
          <w:numId w:val="3"/>
        </w:numPr>
        <w:spacing w:after="240" w:line="240" w:lineRule="auto"/>
        <w:jc w:val="both"/>
      </w:pPr>
      <w:r w:rsidRPr="00455C4B">
        <w:t xml:space="preserve">The city used an </w:t>
      </w:r>
      <w:r w:rsidRPr="000E22FF">
        <w:t xml:space="preserve">interactive </w:t>
      </w:r>
      <w:proofErr w:type="spellStart"/>
      <w:r w:rsidRPr="000E22FF">
        <w:t>StoryMap</w:t>
      </w:r>
      <w:proofErr w:type="spellEnd"/>
      <w:r w:rsidRPr="00455C4B">
        <w:t xml:space="preserve"> to introduce the plan to the public, showing existing zoning, proposed zoning changes, why changes are being considered, and how growth might occur. </w:t>
      </w:r>
    </w:p>
    <w:p w14:paraId="7A77045B" w14:textId="77777777" w:rsidR="00753A2C" w:rsidRPr="00455C4B" w:rsidRDefault="00753A2C" w:rsidP="00753A2C">
      <w:pPr>
        <w:numPr>
          <w:ilvl w:val="1"/>
          <w:numId w:val="3"/>
        </w:numPr>
        <w:spacing w:after="240" w:line="240" w:lineRule="auto"/>
        <w:jc w:val="both"/>
      </w:pPr>
      <w:r w:rsidRPr="00455C4B">
        <w:t>This made the planning information more visual and accessible, especially for non-technical audiences.</w:t>
      </w:r>
    </w:p>
    <w:p w14:paraId="42EF1397" w14:textId="36E242E6" w:rsidR="00753A2C" w:rsidRPr="00455C4B" w:rsidRDefault="00753A2C" w:rsidP="00753A2C">
      <w:pPr>
        <w:numPr>
          <w:ilvl w:val="1"/>
          <w:numId w:val="3"/>
        </w:numPr>
        <w:spacing w:after="240" w:line="240" w:lineRule="auto"/>
        <w:jc w:val="both"/>
      </w:pPr>
      <w:r w:rsidRPr="00455C4B">
        <w:t xml:space="preserve">As part of outreach, property owners within </w:t>
      </w:r>
      <w:r w:rsidRPr="000E22FF">
        <w:t>300 feet</w:t>
      </w:r>
      <w:r w:rsidRPr="00455C4B">
        <w:t xml:space="preserve"> of proposed map changes received postcards (with a QR code / link) to the </w:t>
      </w:r>
      <w:proofErr w:type="spellStart"/>
      <w:r w:rsidRPr="00455C4B">
        <w:t>StoryMap</w:t>
      </w:r>
      <w:proofErr w:type="spellEnd"/>
      <w:r w:rsidRPr="00455C4B">
        <w:t xml:space="preserve">. </w:t>
      </w:r>
    </w:p>
    <w:p w14:paraId="68CF5D7F" w14:textId="637FB1FA" w:rsidR="00753A2C" w:rsidRPr="00455C4B" w:rsidRDefault="00753A2C" w:rsidP="00753A2C">
      <w:pPr>
        <w:numPr>
          <w:ilvl w:val="1"/>
          <w:numId w:val="3"/>
        </w:numPr>
        <w:spacing w:after="240" w:line="240" w:lineRule="auto"/>
        <w:jc w:val="both"/>
      </w:pPr>
      <w:r w:rsidRPr="00455C4B">
        <w:t xml:space="preserve">They also posted </w:t>
      </w:r>
      <w:r w:rsidRPr="00455C4B">
        <w:rPr>
          <w:i/>
          <w:iCs/>
        </w:rPr>
        <w:t>land use notice signs</w:t>
      </w:r>
      <w:r w:rsidRPr="00455C4B">
        <w:t xml:space="preserve"> near areas where map amendments were proposed. </w:t>
      </w:r>
    </w:p>
    <w:p w14:paraId="7642C293" w14:textId="77777777" w:rsidR="00753A2C" w:rsidRPr="00455C4B" w:rsidRDefault="00753A2C" w:rsidP="00753A2C">
      <w:pPr>
        <w:numPr>
          <w:ilvl w:val="0"/>
          <w:numId w:val="3"/>
        </w:numPr>
        <w:spacing w:after="240" w:line="240" w:lineRule="auto"/>
        <w:jc w:val="both"/>
      </w:pPr>
      <w:r w:rsidRPr="00455C4B">
        <w:rPr>
          <w:b/>
          <w:bCs/>
        </w:rPr>
        <w:t>Public Hearings</w:t>
      </w:r>
    </w:p>
    <w:p w14:paraId="7A2F81C0" w14:textId="6A87850A" w:rsidR="00753A2C" w:rsidRPr="00455C4B" w:rsidRDefault="00753A2C" w:rsidP="00753A2C">
      <w:pPr>
        <w:numPr>
          <w:ilvl w:val="1"/>
          <w:numId w:val="3"/>
        </w:numPr>
        <w:spacing w:after="240" w:line="240" w:lineRule="auto"/>
        <w:jc w:val="both"/>
      </w:pPr>
      <w:r w:rsidRPr="00455C4B">
        <w:t xml:space="preserve">There were </w:t>
      </w:r>
      <w:r w:rsidRPr="000E22FF">
        <w:t>two Planning Commission public hearings</w:t>
      </w:r>
      <w:r w:rsidRPr="00455C4B">
        <w:t xml:space="preserve">: October 2, 2024, and a continuation on October 9, 2024. </w:t>
      </w:r>
    </w:p>
    <w:p w14:paraId="0B91A8CD" w14:textId="2D75EBEB" w:rsidR="00753A2C" w:rsidRPr="00455C4B" w:rsidRDefault="00753A2C" w:rsidP="00753A2C">
      <w:pPr>
        <w:numPr>
          <w:ilvl w:val="1"/>
          <w:numId w:val="3"/>
        </w:numPr>
        <w:spacing w:after="240" w:line="240" w:lineRule="auto"/>
        <w:jc w:val="both"/>
      </w:pPr>
      <w:r w:rsidRPr="00455C4B">
        <w:t xml:space="preserve">After the Planning Commission recommended the plan, the </w:t>
      </w:r>
      <w:r w:rsidRPr="000E22FF">
        <w:t>City Council held a public hearing</w:t>
      </w:r>
      <w:r w:rsidRPr="00455C4B">
        <w:t xml:space="preserve"> on October 22, 2024. </w:t>
      </w:r>
    </w:p>
    <w:p w14:paraId="6E05724C" w14:textId="466CF7E4" w:rsidR="00753A2C" w:rsidRPr="00455C4B" w:rsidRDefault="00753A2C" w:rsidP="00753A2C">
      <w:pPr>
        <w:numPr>
          <w:ilvl w:val="1"/>
          <w:numId w:val="3"/>
        </w:numPr>
        <w:spacing w:after="240" w:line="240" w:lineRule="auto"/>
        <w:jc w:val="both"/>
      </w:pPr>
      <w:r w:rsidRPr="00455C4B">
        <w:t xml:space="preserve">The hearings accepted </w:t>
      </w:r>
      <w:r w:rsidRPr="000E22FF">
        <w:t>oral testimony</w:t>
      </w:r>
      <w:r w:rsidRPr="00455C4B">
        <w:t xml:space="preserve">; there was also a mechanism for </w:t>
      </w:r>
      <w:r w:rsidRPr="000E22FF">
        <w:t>written comments</w:t>
      </w:r>
      <w:r w:rsidRPr="00455C4B">
        <w:t xml:space="preserve"> through the adoption process. </w:t>
      </w:r>
    </w:p>
    <w:p w14:paraId="61FEC5CB" w14:textId="77777777" w:rsidR="00753A2C" w:rsidRPr="00455C4B" w:rsidRDefault="00753A2C" w:rsidP="00753A2C">
      <w:pPr>
        <w:numPr>
          <w:ilvl w:val="0"/>
          <w:numId w:val="3"/>
        </w:numPr>
        <w:spacing w:after="240" w:line="240" w:lineRule="auto"/>
        <w:jc w:val="both"/>
      </w:pPr>
      <w:r w:rsidRPr="00455C4B">
        <w:rPr>
          <w:b/>
          <w:bCs/>
        </w:rPr>
        <w:t>Ongoing Engagement through Key Partners</w:t>
      </w:r>
    </w:p>
    <w:p w14:paraId="05F6E413" w14:textId="120BF93D" w:rsidR="00753A2C" w:rsidRPr="00455C4B" w:rsidRDefault="00753A2C" w:rsidP="00753A2C">
      <w:pPr>
        <w:numPr>
          <w:ilvl w:val="1"/>
          <w:numId w:val="3"/>
        </w:numPr>
        <w:spacing w:after="240" w:line="240" w:lineRule="auto"/>
        <w:jc w:val="both"/>
      </w:pPr>
      <w:r w:rsidRPr="00455C4B">
        <w:t xml:space="preserve">The PPP laid out </w:t>
      </w:r>
      <w:r w:rsidRPr="00455C4B">
        <w:rPr>
          <w:i/>
          <w:iCs/>
        </w:rPr>
        <w:t>Key Partner Meetings</w:t>
      </w:r>
      <w:r w:rsidRPr="00455C4B">
        <w:t xml:space="preserve">: early “kick-off,” mid-process check-ins, and findings feedback sessions. </w:t>
      </w:r>
    </w:p>
    <w:p w14:paraId="6B9872E2" w14:textId="6AE808E2" w:rsidR="00753A2C" w:rsidRPr="00455C4B" w:rsidRDefault="00753A2C" w:rsidP="00753A2C">
      <w:pPr>
        <w:numPr>
          <w:ilvl w:val="1"/>
          <w:numId w:val="3"/>
        </w:numPr>
        <w:spacing w:after="240" w:line="240" w:lineRule="auto"/>
        <w:jc w:val="both"/>
      </w:pPr>
      <w:r w:rsidRPr="00455C4B">
        <w:t xml:space="preserve">These partner groups included community advisory groups, youth, developers, state agencies, and more. </w:t>
      </w:r>
    </w:p>
    <w:p w14:paraId="527C3AF7" w14:textId="351EDFF9" w:rsidR="00753A2C" w:rsidRPr="00455C4B" w:rsidRDefault="00753A2C" w:rsidP="00753A2C">
      <w:pPr>
        <w:numPr>
          <w:ilvl w:val="1"/>
          <w:numId w:val="3"/>
        </w:numPr>
        <w:spacing w:after="240" w:line="240" w:lineRule="auto"/>
        <w:jc w:val="both"/>
      </w:pPr>
      <w:r w:rsidRPr="00455C4B">
        <w:t xml:space="preserve">The city intended to use these partners to help promote engagement (e.g., distributing surveys via their networks). </w:t>
      </w:r>
    </w:p>
    <w:p w14:paraId="02EF011B" w14:textId="77777777" w:rsidR="00753A2C" w:rsidRPr="00455C4B" w:rsidRDefault="00753A2C" w:rsidP="00753A2C">
      <w:pPr>
        <w:numPr>
          <w:ilvl w:val="0"/>
          <w:numId w:val="3"/>
        </w:numPr>
        <w:spacing w:after="240" w:line="240" w:lineRule="auto"/>
        <w:jc w:val="both"/>
      </w:pPr>
      <w:r w:rsidRPr="00455C4B">
        <w:rPr>
          <w:b/>
          <w:bCs/>
        </w:rPr>
        <w:t>Survey</w:t>
      </w:r>
    </w:p>
    <w:p w14:paraId="260A2773" w14:textId="666A4E82" w:rsidR="00753A2C" w:rsidRPr="00455C4B" w:rsidRDefault="00753A2C" w:rsidP="00753A2C">
      <w:pPr>
        <w:numPr>
          <w:ilvl w:val="1"/>
          <w:numId w:val="3"/>
        </w:numPr>
        <w:spacing w:after="240" w:line="240" w:lineRule="auto"/>
        <w:jc w:val="both"/>
      </w:pPr>
      <w:r w:rsidRPr="00455C4B">
        <w:t xml:space="preserve">A </w:t>
      </w:r>
      <w:r w:rsidRPr="000E22FF">
        <w:t>community survey</w:t>
      </w:r>
      <w:r w:rsidRPr="00455C4B">
        <w:t xml:space="preserve"> was part of the strategy. It was to be hosted on the city’s comp-plan update webpage. </w:t>
      </w:r>
    </w:p>
    <w:p w14:paraId="6E983AEC" w14:textId="5CF74609" w:rsidR="00753A2C" w:rsidRPr="00455C4B" w:rsidRDefault="00753A2C" w:rsidP="00753A2C">
      <w:pPr>
        <w:numPr>
          <w:ilvl w:val="1"/>
          <w:numId w:val="3"/>
        </w:numPr>
        <w:spacing w:after="240" w:line="240" w:lineRule="auto"/>
        <w:jc w:val="both"/>
      </w:pPr>
      <w:r w:rsidRPr="00455C4B">
        <w:t xml:space="preserve">According to the PPP, the survey was to be translated (up to 3 languages) depending on accessibility needs. </w:t>
      </w:r>
    </w:p>
    <w:p w14:paraId="61195FE6" w14:textId="77777777" w:rsidR="00753A2C" w:rsidRPr="00455C4B" w:rsidRDefault="00753A2C" w:rsidP="00753A2C">
      <w:pPr>
        <w:numPr>
          <w:ilvl w:val="0"/>
          <w:numId w:val="3"/>
        </w:numPr>
        <w:spacing w:after="240" w:line="240" w:lineRule="auto"/>
        <w:jc w:val="both"/>
      </w:pPr>
      <w:r w:rsidRPr="00455C4B">
        <w:rPr>
          <w:b/>
          <w:bCs/>
        </w:rPr>
        <w:t>Information Materials</w:t>
      </w:r>
    </w:p>
    <w:p w14:paraId="2580F79D" w14:textId="6C0F0DF1" w:rsidR="00753A2C" w:rsidRPr="00455C4B" w:rsidRDefault="00753A2C" w:rsidP="00753A2C">
      <w:pPr>
        <w:numPr>
          <w:ilvl w:val="1"/>
          <w:numId w:val="3"/>
        </w:numPr>
        <w:spacing w:after="240" w:line="240" w:lineRule="auto"/>
        <w:jc w:val="both"/>
      </w:pPr>
      <w:r w:rsidRPr="00455C4B">
        <w:t xml:space="preserve">The city provided </w:t>
      </w:r>
      <w:r w:rsidRPr="000E22FF">
        <w:t>brochures and one-page summaries</w:t>
      </w:r>
      <w:r w:rsidRPr="00455C4B">
        <w:t xml:space="preserve"> about the key topic areas, the process, and how people could participate. </w:t>
      </w:r>
    </w:p>
    <w:p w14:paraId="5FA7FB94" w14:textId="5CB0BB56" w:rsidR="00753A2C" w:rsidRPr="00455C4B" w:rsidRDefault="00B313AE" w:rsidP="00753A2C">
      <w:pPr>
        <w:numPr>
          <w:ilvl w:val="1"/>
          <w:numId w:val="3"/>
        </w:numPr>
        <w:spacing w:after="240" w:line="240" w:lineRule="auto"/>
        <w:jc w:val="both"/>
      </w:pPr>
      <w:r w:rsidRPr="00455C4B">
        <w:lastRenderedPageBreak/>
        <w:t>The City</w:t>
      </w:r>
      <w:r w:rsidR="00753A2C" w:rsidRPr="00455C4B">
        <w:t xml:space="preserve"> also maintained a </w:t>
      </w:r>
      <w:r w:rsidR="00753A2C" w:rsidRPr="00455C4B">
        <w:rPr>
          <w:i/>
          <w:iCs/>
        </w:rPr>
        <w:t>FAQ</w:t>
      </w:r>
      <w:r w:rsidR="00753A2C" w:rsidRPr="00455C4B">
        <w:t xml:space="preserve"> (Frequently Asked Questions) document for the Housing Element and Land Use Element. </w:t>
      </w:r>
    </w:p>
    <w:p w14:paraId="4A6B49C9" w14:textId="1DC00E6E" w:rsidR="00753A2C" w:rsidRPr="00455C4B" w:rsidRDefault="00753A2C" w:rsidP="00753A2C">
      <w:pPr>
        <w:numPr>
          <w:ilvl w:val="1"/>
          <w:numId w:val="3"/>
        </w:numPr>
        <w:spacing w:after="240" w:line="240" w:lineRule="auto"/>
        <w:jc w:val="both"/>
      </w:pPr>
      <w:r w:rsidRPr="00455C4B">
        <w:t xml:space="preserve">Background analysis documents (e.g., “Audit &amp; Gaps Analysis” of the old plan) were made available. </w:t>
      </w:r>
    </w:p>
    <w:p w14:paraId="10FA88E0" w14:textId="77777777" w:rsidR="00753A2C" w:rsidRPr="00455C4B" w:rsidRDefault="00753A2C" w:rsidP="00753A2C">
      <w:pPr>
        <w:numPr>
          <w:ilvl w:val="0"/>
          <w:numId w:val="3"/>
        </w:numPr>
        <w:spacing w:after="240" w:line="240" w:lineRule="auto"/>
        <w:jc w:val="both"/>
      </w:pPr>
      <w:r w:rsidRPr="00455C4B">
        <w:rPr>
          <w:b/>
          <w:bCs/>
        </w:rPr>
        <w:t>Planning Commission Meetings</w:t>
      </w:r>
    </w:p>
    <w:p w14:paraId="7661BF94" w14:textId="77777777" w:rsidR="00753A2C" w:rsidRPr="00455C4B" w:rsidRDefault="00753A2C" w:rsidP="00753A2C">
      <w:pPr>
        <w:numPr>
          <w:ilvl w:val="1"/>
          <w:numId w:val="3"/>
        </w:numPr>
        <w:spacing w:after="240" w:line="240" w:lineRule="auto"/>
        <w:jc w:val="both"/>
      </w:pPr>
      <w:r w:rsidRPr="00455C4B">
        <w:t>The Planning Commission met regularly (10+ meetings per the FAQ) to review drafts, hear public input, and refine recommendations.</w:t>
      </w:r>
    </w:p>
    <w:p w14:paraId="1EFF988A" w14:textId="415FD037" w:rsidR="00753A2C" w:rsidRPr="00455C4B" w:rsidRDefault="00753A2C" w:rsidP="00753A2C">
      <w:pPr>
        <w:numPr>
          <w:ilvl w:val="1"/>
          <w:numId w:val="3"/>
        </w:numPr>
        <w:spacing w:after="240" w:line="240" w:lineRule="auto"/>
        <w:jc w:val="both"/>
      </w:pPr>
      <w:r w:rsidRPr="00455C4B">
        <w:t xml:space="preserve">Meeting minutes show discussion of public input from early outreach (e.g., survey) and suggestions to reach people “where they are” (shopping centers, neighborhoods). </w:t>
      </w:r>
    </w:p>
    <w:p w14:paraId="4E8B9EB4" w14:textId="77777777" w:rsidR="00753A2C" w:rsidRPr="00455C4B" w:rsidRDefault="00753A2C" w:rsidP="00753A2C">
      <w:pPr>
        <w:numPr>
          <w:ilvl w:val="0"/>
          <w:numId w:val="3"/>
        </w:numPr>
        <w:spacing w:after="240" w:line="240" w:lineRule="auto"/>
        <w:jc w:val="both"/>
      </w:pPr>
      <w:r w:rsidRPr="00455C4B">
        <w:rPr>
          <w:b/>
          <w:bCs/>
        </w:rPr>
        <w:t>Regulatory Notices</w:t>
      </w:r>
    </w:p>
    <w:p w14:paraId="5D543E8C" w14:textId="31EA6C24" w:rsidR="00753A2C" w:rsidRPr="00455C4B" w:rsidRDefault="00753A2C" w:rsidP="00753A2C">
      <w:pPr>
        <w:numPr>
          <w:ilvl w:val="1"/>
          <w:numId w:val="3"/>
        </w:numPr>
        <w:spacing w:after="240" w:line="240" w:lineRule="auto"/>
        <w:jc w:val="both"/>
      </w:pPr>
      <w:r w:rsidRPr="00455C4B">
        <w:t xml:space="preserve">The city issued a </w:t>
      </w:r>
      <w:r w:rsidRPr="000E22FF">
        <w:t>Determination of Non-significance (DNS)</w:t>
      </w:r>
      <w:r w:rsidRPr="00455C4B">
        <w:t xml:space="preserve"> under SEPA on September 23, 2024. </w:t>
      </w:r>
    </w:p>
    <w:p w14:paraId="03F074ED" w14:textId="16AF9C62" w:rsidR="00753A2C" w:rsidRPr="00455C4B" w:rsidRDefault="00753A2C" w:rsidP="00753A2C">
      <w:pPr>
        <w:numPr>
          <w:ilvl w:val="1"/>
          <w:numId w:val="3"/>
        </w:numPr>
        <w:spacing w:after="240" w:line="240" w:lineRule="auto"/>
        <w:jc w:val="both"/>
      </w:pPr>
      <w:r w:rsidRPr="00455C4B">
        <w:t xml:space="preserve">There was a SEPA addendum in January 2025. </w:t>
      </w:r>
    </w:p>
    <w:p w14:paraId="3AC26970" w14:textId="70F84A6D" w:rsidR="00753A2C" w:rsidRPr="00455C4B" w:rsidRDefault="00753A2C" w:rsidP="00753A2C">
      <w:pPr>
        <w:numPr>
          <w:ilvl w:val="1"/>
          <w:numId w:val="3"/>
        </w:numPr>
        <w:spacing w:after="240" w:line="240" w:lineRule="auto"/>
        <w:jc w:val="both"/>
      </w:pPr>
      <w:r w:rsidRPr="00455C4B">
        <w:t xml:space="preserve">Map amendment notices were sent to affected property owners, as noted above (postcards, signs). </w:t>
      </w:r>
    </w:p>
    <w:p w14:paraId="4F53B026" w14:textId="77777777" w:rsidR="00753A2C" w:rsidRPr="00A32796" w:rsidRDefault="00753A2C" w:rsidP="00753A2C">
      <w:pPr>
        <w:numPr>
          <w:ilvl w:val="0"/>
          <w:numId w:val="3"/>
        </w:numPr>
        <w:spacing w:after="240" w:line="240" w:lineRule="auto"/>
        <w:jc w:val="both"/>
      </w:pPr>
      <w:r w:rsidRPr="00A32796">
        <w:rPr>
          <w:b/>
          <w:bCs/>
        </w:rPr>
        <w:t>Integration with Other Planning Processes</w:t>
      </w:r>
    </w:p>
    <w:p w14:paraId="58998010" w14:textId="4B56C2CD" w:rsidR="00753A2C" w:rsidRPr="00A32796" w:rsidRDefault="00753A2C" w:rsidP="00753A2C">
      <w:pPr>
        <w:numPr>
          <w:ilvl w:val="1"/>
          <w:numId w:val="3"/>
        </w:numPr>
        <w:spacing w:after="240" w:line="240" w:lineRule="auto"/>
        <w:jc w:val="both"/>
      </w:pPr>
      <w:r w:rsidRPr="00A32796">
        <w:t xml:space="preserve">The comp plan update drew on other recent city planning work: the </w:t>
      </w:r>
      <w:r w:rsidRPr="000E22FF">
        <w:t>Housing Action Plan</w:t>
      </w:r>
      <w:r w:rsidRPr="00A32796">
        <w:t xml:space="preserve"> (adopted in 2023), </w:t>
      </w:r>
      <w:r w:rsidRPr="00A32796">
        <w:rPr>
          <w:i/>
          <w:iCs/>
        </w:rPr>
        <w:t>Climate Sustainability Plan</w:t>
      </w:r>
      <w:r w:rsidRPr="00A32796">
        <w:t>, subarea planning, etc.</w:t>
      </w:r>
    </w:p>
    <w:p w14:paraId="19F4D9FA" w14:textId="10B8DC5A" w:rsidR="00753A2C" w:rsidRPr="00A32796" w:rsidRDefault="00753A2C" w:rsidP="00A32796">
      <w:pPr>
        <w:numPr>
          <w:ilvl w:val="1"/>
          <w:numId w:val="3"/>
        </w:numPr>
        <w:spacing w:after="240" w:line="240" w:lineRule="auto"/>
        <w:jc w:val="both"/>
      </w:pPr>
      <w:r w:rsidRPr="00A32796">
        <w:t>By connecting with these parallel efforts, the city could leverage existing engagement networks and data.</w:t>
      </w:r>
    </w:p>
    <w:p w14:paraId="615B09C9" w14:textId="77777777" w:rsidR="00753A2C" w:rsidRPr="00A32796" w:rsidRDefault="00753A2C" w:rsidP="00753A2C">
      <w:pPr>
        <w:spacing w:after="240" w:line="240" w:lineRule="auto"/>
        <w:ind w:left="360" w:hanging="360"/>
        <w:jc w:val="both"/>
        <w:rPr>
          <w:b/>
          <w:bCs/>
        </w:rPr>
      </w:pPr>
      <w:r w:rsidRPr="00A32796">
        <w:rPr>
          <w:b/>
          <w:bCs/>
        </w:rPr>
        <w:t>Assessment / Observations</w:t>
      </w:r>
    </w:p>
    <w:p w14:paraId="7C93462C" w14:textId="77777777" w:rsidR="00753A2C" w:rsidRPr="00A32796" w:rsidRDefault="00753A2C" w:rsidP="00753A2C">
      <w:pPr>
        <w:numPr>
          <w:ilvl w:val="0"/>
          <w:numId w:val="4"/>
        </w:numPr>
        <w:spacing w:after="240" w:line="240" w:lineRule="auto"/>
        <w:jc w:val="both"/>
      </w:pPr>
      <w:r w:rsidRPr="00A32796">
        <w:rPr>
          <w:b/>
          <w:bCs/>
        </w:rPr>
        <w:t>Comprehensive and structured</w:t>
      </w:r>
      <w:r w:rsidRPr="00A32796">
        <w:t>: The outreach plan was well thought out, with a formal Public Participation Plan, multiple engagement channels (in-person, online, key partners), and a feedback loop.</w:t>
      </w:r>
    </w:p>
    <w:p w14:paraId="38F8043D" w14:textId="77777777" w:rsidR="00753A2C" w:rsidRPr="00A32796" w:rsidRDefault="00753A2C" w:rsidP="00753A2C">
      <w:pPr>
        <w:numPr>
          <w:ilvl w:val="0"/>
          <w:numId w:val="4"/>
        </w:numPr>
        <w:spacing w:after="240" w:line="240" w:lineRule="auto"/>
        <w:jc w:val="both"/>
      </w:pPr>
      <w:r w:rsidRPr="00A32796">
        <w:rPr>
          <w:b/>
          <w:bCs/>
        </w:rPr>
        <w:t>Accessible &amp; visual</w:t>
      </w:r>
      <w:r w:rsidRPr="00A32796">
        <w:t xml:space="preserve">: Use of a </w:t>
      </w:r>
      <w:proofErr w:type="spellStart"/>
      <w:r w:rsidRPr="00A32796">
        <w:t>StoryMap</w:t>
      </w:r>
      <w:proofErr w:type="spellEnd"/>
      <w:r w:rsidRPr="00A32796">
        <w:t xml:space="preserve"> is smart — especially for land use planning which often involves maps.</w:t>
      </w:r>
    </w:p>
    <w:p w14:paraId="1DC7748D" w14:textId="77777777" w:rsidR="00753A2C" w:rsidRPr="00160247" w:rsidRDefault="00753A2C" w:rsidP="00753A2C">
      <w:pPr>
        <w:numPr>
          <w:ilvl w:val="0"/>
          <w:numId w:val="4"/>
        </w:numPr>
        <w:spacing w:after="240" w:line="240" w:lineRule="auto"/>
        <w:jc w:val="both"/>
      </w:pPr>
      <w:r w:rsidRPr="00A32796">
        <w:rPr>
          <w:b/>
          <w:bCs/>
        </w:rPr>
        <w:t>Targeted outreach</w:t>
      </w:r>
      <w:r w:rsidRPr="00A32796">
        <w:t xml:space="preserve">: Postcards to property owners near map changes, plus in-person open houses, </w:t>
      </w:r>
      <w:proofErr w:type="gramStart"/>
      <w:r w:rsidRPr="00160247">
        <w:t>helps</w:t>
      </w:r>
      <w:proofErr w:type="gramEnd"/>
      <w:r w:rsidRPr="00160247">
        <w:t xml:space="preserve"> reach those who are directly impacted.</w:t>
      </w:r>
    </w:p>
    <w:p w14:paraId="07CEF747" w14:textId="77777777" w:rsidR="00753A2C" w:rsidRPr="00160247" w:rsidRDefault="00753A2C" w:rsidP="00753A2C">
      <w:pPr>
        <w:numPr>
          <w:ilvl w:val="0"/>
          <w:numId w:val="4"/>
        </w:numPr>
        <w:spacing w:after="240" w:line="240" w:lineRule="auto"/>
        <w:jc w:val="both"/>
      </w:pPr>
      <w:r w:rsidRPr="00160247">
        <w:rPr>
          <w:b/>
          <w:bCs/>
        </w:rPr>
        <w:t>Regulatory compliance</w:t>
      </w:r>
      <w:r w:rsidRPr="00160247">
        <w:t>: They did the required SEPA process and held formal public hearings.</w:t>
      </w:r>
    </w:p>
    <w:p w14:paraId="29F11F28" w14:textId="77777777" w:rsidR="00753A2C" w:rsidRPr="00160247" w:rsidRDefault="00753A2C" w:rsidP="00753A2C">
      <w:pPr>
        <w:numPr>
          <w:ilvl w:val="0"/>
          <w:numId w:val="4"/>
        </w:numPr>
        <w:spacing w:after="240" w:line="240" w:lineRule="auto"/>
        <w:jc w:val="both"/>
      </w:pPr>
      <w:r w:rsidRPr="00160247">
        <w:rPr>
          <w:b/>
          <w:bCs/>
        </w:rPr>
        <w:t>Equity-minded</w:t>
      </w:r>
      <w:r w:rsidRPr="00160247">
        <w:t>: The PPP mentions translations, accessible venues, and key partner groups to ensure diverse participation.</w:t>
      </w:r>
    </w:p>
    <w:p w14:paraId="235CC803" w14:textId="757784D4" w:rsidR="003A7B48" w:rsidRPr="00753A2C" w:rsidRDefault="003A7B48" w:rsidP="003A7B48">
      <w:pPr>
        <w:spacing w:after="240" w:line="240" w:lineRule="auto"/>
        <w:jc w:val="both"/>
        <w:rPr>
          <w:highlight w:val="yellow"/>
        </w:rPr>
      </w:pPr>
    </w:p>
    <w:p w14:paraId="364C3C15" w14:textId="4E5DCB5B" w:rsidR="00A97106" w:rsidRPr="00753465" w:rsidRDefault="00A97106" w:rsidP="00753465">
      <w:pPr>
        <w:spacing w:after="240" w:line="240" w:lineRule="auto"/>
        <w:ind w:left="360" w:hanging="360"/>
        <w:jc w:val="both"/>
      </w:pPr>
      <w:r w:rsidRPr="00753465">
        <w:lastRenderedPageBreak/>
        <w:t xml:space="preserve">The Main Street Project </w:t>
      </w:r>
      <w:r w:rsidR="00B346B2" w:rsidRPr="00753465">
        <w:t xml:space="preserve">also had </w:t>
      </w:r>
      <w:r w:rsidR="00DC2BD8" w:rsidRPr="00753465">
        <w:t xml:space="preserve">a </w:t>
      </w:r>
      <w:r w:rsidR="00B346B2" w:rsidRPr="00753465">
        <w:t xml:space="preserve">public engagement in 2025. The Main Street Project – Business Open House </w:t>
      </w:r>
      <w:r w:rsidR="00EC75D5">
        <w:t xml:space="preserve">was </w:t>
      </w:r>
      <w:r w:rsidR="00DC2BD8" w:rsidRPr="00753465">
        <w:t>held on 1/22/2025</w:t>
      </w:r>
      <w:r w:rsidR="00AC38D3" w:rsidRPr="00753465">
        <w:t xml:space="preserve"> at The Mill. It </w:t>
      </w:r>
      <w:r w:rsidR="00B346B2" w:rsidRPr="00753465">
        <w:t>was an informati</w:t>
      </w:r>
      <w:r w:rsidR="00DC2BD8" w:rsidRPr="00753465">
        <w:t xml:space="preserve">ve session that provided the local businesses </w:t>
      </w:r>
      <w:r w:rsidR="00691A25">
        <w:t>we anticipated being</w:t>
      </w:r>
      <w:r w:rsidR="00DC2BD8" w:rsidRPr="00753465">
        <w:t xml:space="preserve"> potentially impacted by the project </w:t>
      </w:r>
      <w:r w:rsidR="00691A25">
        <w:t>an</w:t>
      </w:r>
      <w:r w:rsidR="00DC2BD8" w:rsidRPr="00753465">
        <w:t xml:space="preserve"> opportunity to learn about the project and ask</w:t>
      </w:r>
      <w:r w:rsidR="00691A25">
        <w:t xml:space="preserve"> clarifying</w:t>
      </w:r>
      <w:r w:rsidR="00DC2BD8" w:rsidRPr="00753465">
        <w:t xml:space="preserve"> questions. </w:t>
      </w:r>
      <w:r w:rsidR="00BE42CA">
        <w:t>The outreach for this event included</w:t>
      </w:r>
      <w:r w:rsidR="00AC38D3" w:rsidRPr="00753465">
        <w:t xml:space="preserve"> hand delivering letters to all of the businesses between N</w:t>
      </w:r>
      <w:r w:rsidR="00154989" w:rsidRPr="00753465">
        <w:t>.</w:t>
      </w:r>
      <w:r w:rsidR="00AC38D3" w:rsidRPr="00753465">
        <w:t xml:space="preserve"> Lake</w:t>
      </w:r>
      <w:r w:rsidR="00154989" w:rsidRPr="00753465">
        <w:t>s</w:t>
      </w:r>
      <w:r w:rsidR="00AC38D3" w:rsidRPr="00753465">
        <w:t>hore Drive and 16</w:t>
      </w:r>
      <w:r w:rsidR="00AC38D3" w:rsidRPr="00753465">
        <w:rPr>
          <w:vertAlign w:val="superscript"/>
        </w:rPr>
        <w:t>th</w:t>
      </w:r>
      <w:r w:rsidR="00AC38D3" w:rsidRPr="00753465">
        <w:t xml:space="preserve"> St NE (on Main</w:t>
      </w:r>
      <w:r w:rsidR="00BE42CA">
        <w:t xml:space="preserve"> St</w:t>
      </w:r>
      <w:r w:rsidR="00AC38D3" w:rsidRPr="00753465">
        <w:t>).</w:t>
      </w:r>
      <w:r w:rsidR="00AC38D3">
        <w:t xml:space="preserve"> </w:t>
      </w:r>
    </w:p>
    <w:p w14:paraId="7DE08B35" w14:textId="2C248BC0" w:rsidR="00710D43" w:rsidRDefault="00710D43" w:rsidP="007C3AF8">
      <w:pPr>
        <w:spacing w:after="240" w:line="240" w:lineRule="auto"/>
        <w:ind w:left="360" w:hanging="360"/>
        <w:jc w:val="both"/>
      </w:pPr>
      <w:r>
        <w:t>6. Right-of-way actions</w:t>
      </w:r>
      <w:r w:rsidR="002910F5">
        <w:t>:</w:t>
      </w:r>
      <w:r>
        <w:t xml:space="preserve"> Describe activities during this reporting period associated with the purchase, sale, lease/use, or transfer of real property (related to highway transportation/public right-of-way use). Include demographic information of affected populations. For example, the race, color, national origin of affected property/business owner(s)/tenant(s).</w:t>
      </w:r>
    </w:p>
    <w:p w14:paraId="122EEEB9" w14:textId="1DF7B4BF" w:rsidR="00BB354E" w:rsidRDefault="00BB354E" w:rsidP="00BB354E">
      <w:pPr>
        <w:spacing w:after="240" w:line="240" w:lineRule="auto"/>
        <w:ind w:left="360" w:hanging="360"/>
      </w:pPr>
      <w:r w:rsidRPr="00282519">
        <w:t>Demographic information is not collected as part of the standard Right of Way</w:t>
      </w:r>
      <w:r w:rsidR="00D56EF1">
        <w:t xml:space="preserve"> (ROW)</w:t>
      </w:r>
      <w:r w:rsidRPr="00282519">
        <w:t xml:space="preserve"> Acquisition process established by WSDOT. </w:t>
      </w:r>
      <w:r w:rsidR="00FD1361">
        <w:t xml:space="preserve">The purchase of ROW </w:t>
      </w:r>
      <w:r w:rsidR="003E75DA">
        <w:t>for the Main Street Project was the only</w:t>
      </w:r>
      <w:r w:rsidRPr="00282519">
        <w:t xml:space="preserve"> </w:t>
      </w:r>
      <w:proofErr w:type="gramStart"/>
      <w:r w:rsidRPr="00282519">
        <w:t>completed</w:t>
      </w:r>
      <w:proofErr w:type="gramEnd"/>
      <w:r w:rsidRPr="00282519">
        <w:t xml:space="preserve"> activit</w:t>
      </w:r>
      <w:r w:rsidR="003E75DA">
        <w:t>y</w:t>
      </w:r>
      <w:r w:rsidRPr="00282519">
        <w:t xml:space="preserve"> during this reporting period. All activities followed the LAG Manual</w:t>
      </w:r>
      <w:r w:rsidR="00D56EF1">
        <w:t>.</w:t>
      </w:r>
    </w:p>
    <w:p w14:paraId="2A496FC9" w14:textId="33929011" w:rsidR="00710D43" w:rsidRDefault="00710D43" w:rsidP="007C3AF8">
      <w:pPr>
        <w:spacing w:after="240" w:line="240" w:lineRule="auto"/>
        <w:ind w:left="360" w:hanging="360"/>
        <w:jc w:val="both"/>
      </w:pPr>
      <w:r>
        <w:t xml:space="preserve">7. Identify right-of-way appraisers and acquisition </w:t>
      </w:r>
      <w:r w:rsidR="004970B0">
        <w:t>staff (</w:t>
      </w:r>
      <w:r>
        <w:t>used during this reporting period) by race, color, national origin.</w:t>
      </w:r>
      <w:r w:rsidR="0082647C">
        <w:t xml:space="preserve"> </w:t>
      </w:r>
    </w:p>
    <w:p w14:paraId="57B45116" w14:textId="3ED1B855" w:rsidR="0082647C" w:rsidRDefault="003E75DA" w:rsidP="007C3AF8">
      <w:pPr>
        <w:spacing w:after="240" w:line="240" w:lineRule="auto"/>
        <w:ind w:left="360" w:hanging="360"/>
        <w:jc w:val="both"/>
      </w:pPr>
      <w:r w:rsidRPr="00282519">
        <w:t>Demographic information is not collected as part of the standard Right of Way Acquisition process established by WSDOT</w:t>
      </w:r>
      <w:r w:rsidRPr="002411EA">
        <w:t xml:space="preserve">. </w:t>
      </w:r>
      <w:r w:rsidR="000A5F7E" w:rsidRPr="002411EA">
        <w:t>However, federal guidelines were used to procure the consultants.</w:t>
      </w:r>
    </w:p>
    <w:p w14:paraId="5E522B7D" w14:textId="1112148D" w:rsidR="00067E53" w:rsidRDefault="004970B0" w:rsidP="007C3AF8">
      <w:pPr>
        <w:spacing w:after="240" w:line="240" w:lineRule="auto"/>
        <w:ind w:left="360" w:hanging="360"/>
        <w:jc w:val="both"/>
      </w:pPr>
      <w:r>
        <w:t xml:space="preserve">8. </w:t>
      </w:r>
      <w:r w:rsidR="00395497" w:rsidRPr="00D92BFA">
        <w:t>Studies and Plans</w:t>
      </w:r>
      <w:r w:rsidR="002910F5">
        <w:t>:</w:t>
      </w:r>
      <w:r w:rsidR="00395497" w:rsidRPr="00D92BFA">
        <w:t xml:space="preserve"> Were any transportation studies</w:t>
      </w:r>
      <w:r>
        <w:t xml:space="preserve"> (including environmental reviews)</w:t>
      </w:r>
      <w:r w:rsidR="00395497" w:rsidRPr="00D92BFA">
        <w:t xml:space="preserve"> </w:t>
      </w:r>
      <w:proofErr w:type="gramStart"/>
      <w:r w:rsidR="00395497" w:rsidRPr="00D92BFA">
        <w:t>conducted</w:t>
      </w:r>
      <w:proofErr w:type="gramEnd"/>
      <w:r w:rsidR="00395497" w:rsidRPr="00D92BFA">
        <w:t xml:space="preserve"> or transportation plans completed</w:t>
      </w:r>
      <w:r w:rsidR="00133EB0">
        <w:t xml:space="preserve"> during this reporting period? Identify the </w:t>
      </w:r>
      <w:r w:rsidR="000857E0">
        <w:t xml:space="preserve">data </w:t>
      </w:r>
      <w:r w:rsidR="00133EB0">
        <w:t>source(s) and p</w:t>
      </w:r>
      <w:r w:rsidR="00395497" w:rsidRPr="00D92BFA">
        <w:t>rovide data</w:t>
      </w:r>
      <w:r w:rsidR="000857E0">
        <w:t xml:space="preserve"> summary</w:t>
      </w:r>
      <w:r>
        <w:t xml:space="preserve"> (Title VI/Environmental Justice Analysis)</w:t>
      </w:r>
      <w:r w:rsidR="00395497" w:rsidRPr="00D92BFA">
        <w:t xml:space="preserve"> relative to </w:t>
      </w:r>
      <w:r w:rsidR="00133EB0">
        <w:t>ethnicity, race, languages spoken,</w:t>
      </w:r>
      <w:r w:rsidR="00395497" w:rsidRPr="00D92BFA">
        <w:t xml:space="preserve"> neighborhoods, income levels, physical environments, and/or travel habits. </w:t>
      </w:r>
      <w:r w:rsidR="009D7572">
        <w:t>Explain how</w:t>
      </w:r>
      <w:r>
        <w:t xml:space="preserve"> data was used in these studies/reviews/plans.</w:t>
      </w:r>
    </w:p>
    <w:p w14:paraId="2D6DD4B5" w14:textId="0EC08D56" w:rsidR="007D75B1" w:rsidRDefault="00671D54" w:rsidP="00671D54">
      <w:pPr>
        <w:spacing w:after="240" w:line="240" w:lineRule="auto"/>
        <w:jc w:val="both"/>
      </w:pPr>
      <w:r w:rsidRPr="00671D54">
        <w:t xml:space="preserve">There </w:t>
      </w:r>
      <w:proofErr w:type="gramStart"/>
      <w:r w:rsidRPr="00671D54">
        <w:t>were</w:t>
      </w:r>
      <w:proofErr w:type="gramEnd"/>
      <w:r w:rsidRPr="00671D54">
        <w:t xml:space="preserve"> no transportation studies conducted or completed</w:t>
      </w:r>
      <w:r w:rsidR="007D75B1" w:rsidRPr="00671D54">
        <w:t xml:space="preserve"> during this reporting period.</w:t>
      </w:r>
    </w:p>
    <w:p w14:paraId="0868F767" w14:textId="2A719F16" w:rsidR="00A13E9F" w:rsidRDefault="004970B0" w:rsidP="007C3AF8">
      <w:pPr>
        <w:spacing w:after="240" w:line="240" w:lineRule="auto"/>
        <w:ind w:left="360" w:hanging="360"/>
        <w:jc w:val="both"/>
      </w:pPr>
      <w:r>
        <w:t>9. Project Location and Design</w:t>
      </w:r>
      <w:r w:rsidR="002910F5">
        <w:t>:</w:t>
      </w:r>
      <w:r>
        <w:t xml:space="preserve"> Provide a list of construction projects that b</w:t>
      </w:r>
      <w:r w:rsidR="00E56A76">
        <w:t>e</w:t>
      </w:r>
      <w:r>
        <w:t>gan during this reporting period. Using a map of the LPAs ser</w:t>
      </w:r>
      <w:r w:rsidR="00E56A76">
        <w:t>vice area, identify</w:t>
      </w:r>
      <w:r>
        <w:t xml:space="preserve"> </w:t>
      </w:r>
      <w:r w:rsidR="00E56A76">
        <w:t>project locations,</w:t>
      </w:r>
      <w:r>
        <w:t xml:space="preserve"> and a brief description of the projects’ benefits/burdens to affected populations. If possible, provide a map that overlays projects with the racial composition of affected neighborhoods.</w:t>
      </w:r>
    </w:p>
    <w:p w14:paraId="081DB1D7" w14:textId="17407A68" w:rsidR="008B6D04" w:rsidRDefault="00671D54" w:rsidP="007C3AF8">
      <w:pPr>
        <w:spacing w:after="240" w:line="240" w:lineRule="auto"/>
        <w:ind w:left="360" w:hanging="360"/>
        <w:jc w:val="both"/>
      </w:pPr>
      <w:r w:rsidRPr="00F7132F">
        <w:t xml:space="preserve">The </w:t>
      </w:r>
      <w:r w:rsidR="008B6D04" w:rsidRPr="00F7132F">
        <w:t>Main Street Project Started with a Pre-Con</w:t>
      </w:r>
      <w:r w:rsidR="003414DA" w:rsidRPr="00F7132F">
        <w:t xml:space="preserve"> Meeting on 1/7/2025.</w:t>
      </w:r>
      <w:r w:rsidR="00FE5C04" w:rsidRPr="00F7132F">
        <w:t xml:space="preserve"> </w:t>
      </w:r>
      <w:r w:rsidR="00A126A4" w:rsidRPr="00F7132F">
        <w:t xml:space="preserve">Benefits </w:t>
      </w:r>
      <w:r w:rsidRPr="00F7132F">
        <w:t xml:space="preserve">of this project </w:t>
      </w:r>
      <w:r w:rsidR="00A126A4" w:rsidRPr="00F7132F">
        <w:t>include increased connectivit</w:t>
      </w:r>
      <w:r w:rsidR="00A27DB6" w:rsidRPr="00F7132F">
        <w:t xml:space="preserve">y, </w:t>
      </w:r>
      <w:r w:rsidR="00A126A4" w:rsidRPr="00F7132F">
        <w:t xml:space="preserve">improved walkability, </w:t>
      </w:r>
      <w:r w:rsidR="00A27DB6" w:rsidRPr="00F7132F">
        <w:t xml:space="preserve">and improved </w:t>
      </w:r>
      <w:r w:rsidR="00A126A4" w:rsidRPr="00F7132F">
        <w:t>multi-modal</w:t>
      </w:r>
      <w:r w:rsidR="00B10BA8" w:rsidRPr="00F7132F">
        <w:t xml:space="preserve"> </w:t>
      </w:r>
      <w:r w:rsidR="00A126A4" w:rsidRPr="00F7132F">
        <w:t>transportation. Burdens</w:t>
      </w:r>
      <w:r w:rsidR="00A27DB6" w:rsidRPr="00F7132F">
        <w:t xml:space="preserve"> </w:t>
      </w:r>
      <w:proofErr w:type="gramStart"/>
      <w:r w:rsidR="00A27DB6" w:rsidRPr="00F7132F">
        <w:t>to</w:t>
      </w:r>
      <w:proofErr w:type="gramEnd"/>
      <w:r w:rsidR="00A27DB6" w:rsidRPr="00F7132F">
        <w:t xml:space="preserve"> the local area</w:t>
      </w:r>
      <w:r w:rsidR="00A126A4" w:rsidRPr="00F7132F">
        <w:t xml:space="preserve"> include construction </w:t>
      </w:r>
      <w:r w:rsidR="00B10BA8" w:rsidRPr="00F7132F">
        <w:t xml:space="preserve">and activities that </w:t>
      </w:r>
      <w:r w:rsidR="00557115" w:rsidRPr="00F7132F">
        <w:t xml:space="preserve">created disruptions to normal operating conditions to affected businesses. </w:t>
      </w:r>
    </w:p>
    <w:p w14:paraId="74C4D7D7" w14:textId="08CDB6C3" w:rsidR="00133EB0" w:rsidRDefault="00395497" w:rsidP="00B458E5">
      <w:pPr>
        <w:pStyle w:val="ListParagraph"/>
        <w:numPr>
          <w:ilvl w:val="0"/>
          <w:numId w:val="3"/>
        </w:numPr>
        <w:spacing w:after="240" w:line="240" w:lineRule="auto"/>
        <w:jc w:val="both"/>
      </w:pPr>
      <w:r w:rsidRPr="00D92BFA">
        <w:t>Other Public Meeting</w:t>
      </w:r>
      <w:r w:rsidR="002910F5">
        <w:t>s:</w:t>
      </w:r>
      <w:r w:rsidRPr="00D92BFA">
        <w:t xml:space="preserve"> </w:t>
      </w:r>
      <w:proofErr w:type="gramStart"/>
      <w:r w:rsidR="0081175F">
        <w:t>List</w:t>
      </w:r>
      <w:proofErr w:type="gramEnd"/>
      <w:r w:rsidRPr="00D92BFA">
        <w:t xml:space="preserve"> other public meetings held during this reporting period</w:t>
      </w:r>
      <w:r w:rsidR="0081175F">
        <w:t>.</w:t>
      </w:r>
      <w:r w:rsidRPr="00D92BFA">
        <w:t xml:space="preserve"> </w:t>
      </w:r>
      <w:proofErr w:type="gramStart"/>
      <w:r w:rsidR="004970B0">
        <w:t>Identify</w:t>
      </w:r>
      <w:proofErr w:type="gramEnd"/>
      <w:r w:rsidR="004970B0">
        <w:t xml:space="preserve"> efforts </w:t>
      </w:r>
      <w:r w:rsidR="00133EB0" w:rsidRPr="00D92BFA">
        <w:t>used to encourage</w:t>
      </w:r>
      <w:r w:rsidR="004970B0">
        <w:t xml:space="preserve"> citizen participation at those meetings.</w:t>
      </w:r>
      <w:r w:rsidR="00133EB0">
        <w:t xml:space="preserve">  </w:t>
      </w:r>
      <w:r w:rsidRPr="00D92BFA">
        <w:t>Detail dates, times, locations, attendance, and provide examples of outreach materials.</w:t>
      </w:r>
      <w:r w:rsidR="00C6263D">
        <w:t xml:space="preserve"> </w:t>
      </w:r>
    </w:p>
    <w:p w14:paraId="099DE102" w14:textId="101E439A" w:rsidR="00B458E5" w:rsidRDefault="00B458E5" w:rsidP="00B458E5">
      <w:pPr>
        <w:spacing w:after="240" w:line="240" w:lineRule="auto"/>
        <w:ind w:left="360"/>
        <w:jc w:val="both"/>
      </w:pPr>
      <w:r w:rsidRPr="00DB666D">
        <w:t>There were no other public meetings during this period.</w:t>
      </w:r>
    </w:p>
    <w:p w14:paraId="3E993F4D" w14:textId="450F8173" w:rsidR="00395497" w:rsidRDefault="00725064" w:rsidP="00DB666D">
      <w:pPr>
        <w:pStyle w:val="ListParagraph"/>
        <w:numPr>
          <w:ilvl w:val="0"/>
          <w:numId w:val="5"/>
        </w:numPr>
        <w:spacing w:before="200" w:line="240" w:lineRule="auto"/>
        <w:jc w:val="both"/>
      </w:pPr>
      <w:r>
        <w:t>Identify</w:t>
      </w:r>
      <w:r w:rsidR="00C208D0">
        <w:t xml:space="preserve"> </w:t>
      </w:r>
      <w:r w:rsidR="004970B0">
        <w:t xml:space="preserve">members of the </w:t>
      </w:r>
      <w:r w:rsidR="00851D9F">
        <w:t>LPA</w:t>
      </w:r>
      <w:r w:rsidR="004970B0">
        <w:t xml:space="preserve">’s transportation planning and/or advisory groups by race, color, and national origin </w:t>
      </w:r>
    </w:p>
    <w:p w14:paraId="3B5B0BB7" w14:textId="77777777" w:rsidR="00E34C63" w:rsidRDefault="00E34C63" w:rsidP="00E34C63">
      <w:pPr>
        <w:pStyle w:val="ListParagraph"/>
        <w:spacing w:before="200" w:line="240" w:lineRule="auto"/>
        <w:jc w:val="both"/>
      </w:pPr>
    </w:p>
    <w:p w14:paraId="54F7E4C0" w14:textId="3EF1B135" w:rsidR="00DB666D" w:rsidRDefault="00DB666D" w:rsidP="00DB666D">
      <w:pPr>
        <w:pStyle w:val="ListParagraph"/>
        <w:spacing w:before="200" w:line="240" w:lineRule="auto"/>
        <w:jc w:val="both"/>
      </w:pPr>
      <w:r>
        <w:t>Not applicable.</w:t>
      </w:r>
    </w:p>
    <w:p w14:paraId="21570359" w14:textId="77777777" w:rsidR="00DB666D" w:rsidRPr="00D92BFA" w:rsidRDefault="00DB666D" w:rsidP="00DB666D">
      <w:pPr>
        <w:pStyle w:val="ListParagraph"/>
        <w:spacing w:before="200" w:line="240" w:lineRule="auto"/>
        <w:jc w:val="both"/>
      </w:pPr>
    </w:p>
    <w:p w14:paraId="181E51E7" w14:textId="3BC2EF40" w:rsidR="00C208D0" w:rsidRDefault="0081175F" w:rsidP="00DB666D">
      <w:pPr>
        <w:pStyle w:val="ListParagraph"/>
        <w:numPr>
          <w:ilvl w:val="0"/>
          <w:numId w:val="5"/>
        </w:numPr>
        <w:spacing w:line="240" w:lineRule="auto"/>
        <w:jc w:val="both"/>
      </w:pPr>
      <w:r>
        <w:t>Specify methods</w:t>
      </w:r>
      <w:r w:rsidR="00395497" w:rsidRPr="00D92BFA">
        <w:t xml:space="preserve"> used to collect demographic information from the </w:t>
      </w:r>
      <w:r w:rsidR="00D11110">
        <w:t xml:space="preserve">transportation-related </w:t>
      </w:r>
      <w:r w:rsidR="00395497" w:rsidRPr="00D92BFA">
        <w:t>public meetings</w:t>
      </w:r>
      <w:r>
        <w:t>.</w:t>
      </w:r>
      <w:r w:rsidR="00395497" w:rsidRPr="00D92BFA">
        <w:t xml:space="preserve"> (</w:t>
      </w:r>
      <w:r w:rsidR="000F3BDC" w:rsidRPr="00D92BFA">
        <w:t>Self-identification</w:t>
      </w:r>
      <w:r w:rsidR="00395497" w:rsidRPr="00D92BFA">
        <w:t xml:space="preserve"> surveys, notes by staff, etc</w:t>
      </w:r>
      <w:r w:rsidR="00C208D0">
        <w:t>.</w:t>
      </w:r>
      <w:r w:rsidR="00395497" w:rsidRPr="00D92BFA">
        <w:t xml:space="preserve">) </w:t>
      </w:r>
      <w:r w:rsidR="00C208D0">
        <w:t>Include summaries of Public Involvement F</w:t>
      </w:r>
      <w:r w:rsidR="008F6272">
        <w:t>orms collected at each meeting, listing</w:t>
      </w:r>
      <w:r w:rsidR="00395497" w:rsidRPr="00D92BFA">
        <w:t xml:space="preserve"> the demographics of those who attended by meeting.</w:t>
      </w:r>
      <w:r w:rsidR="00FF0456" w:rsidRPr="00D92BFA">
        <w:t xml:space="preserve"> </w:t>
      </w:r>
    </w:p>
    <w:p w14:paraId="17AB301B" w14:textId="77777777" w:rsidR="00DB666D" w:rsidRDefault="00DB666D" w:rsidP="00DB666D">
      <w:pPr>
        <w:pStyle w:val="ListParagraph"/>
        <w:spacing w:line="240" w:lineRule="auto"/>
        <w:jc w:val="both"/>
      </w:pPr>
    </w:p>
    <w:p w14:paraId="44B3AB64" w14:textId="297AF062" w:rsidR="00DB666D" w:rsidRDefault="00DB666D" w:rsidP="00DB666D">
      <w:pPr>
        <w:pStyle w:val="ListParagraph"/>
        <w:spacing w:line="240" w:lineRule="auto"/>
        <w:jc w:val="both"/>
      </w:pPr>
      <w:r>
        <w:t>Not applicable.</w:t>
      </w:r>
    </w:p>
    <w:p w14:paraId="3876C269" w14:textId="77777777" w:rsidR="00DB666D" w:rsidRDefault="00DB666D" w:rsidP="00DB666D">
      <w:pPr>
        <w:pStyle w:val="ListParagraph"/>
        <w:spacing w:line="240" w:lineRule="auto"/>
        <w:jc w:val="both"/>
      </w:pPr>
    </w:p>
    <w:p w14:paraId="5E38D818" w14:textId="68234CA7" w:rsidR="00725064" w:rsidRDefault="00725064" w:rsidP="00DB666D">
      <w:pPr>
        <w:pStyle w:val="ListParagraph"/>
        <w:numPr>
          <w:ilvl w:val="0"/>
          <w:numId w:val="5"/>
        </w:numPr>
        <w:spacing w:line="240" w:lineRule="auto"/>
        <w:jc w:val="both"/>
      </w:pPr>
      <w:r>
        <w:t>List</w:t>
      </w:r>
      <w:r w:rsidRPr="00D92BFA">
        <w:t xml:space="preserve"> any </w:t>
      </w:r>
      <w:r>
        <w:t>language assistance</w:t>
      </w:r>
      <w:r w:rsidRPr="00D92BFA">
        <w:t xml:space="preserve"> services requested</w:t>
      </w:r>
      <w:r>
        <w:t>.</w:t>
      </w:r>
      <w:r w:rsidRPr="00D92BFA">
        <w:t xml:space="preserve"> </w:t>
      </w:r>
      <w:r>
        <w:t>F</w:t>
      </w:r>
      <w:r w:rsidRPr="00D92BFA">
        <w:t xml:space="preserve">or which languages?  Who provided the service? </w:t>
      </w:r>
      <w:r>
        <w:t xml:space="preserve">In addition, list vital documents </w:t>
      </w:r>
      <w:r w:rsidRPr="00D92BFA">
        <w:t xml:space="preserve">translated </w:t>
      </w:r>
      <w:r>
        <w:t xml:space="preserve">during the reporting period </w:t>
      </w:r>
      <w:r w:rsidRPr="00D92BFA">
        <w:t xml:space="preserve">and </w:t>
      </w:r>
      <w:r>
        <w:t>identify the</w:t>
      </w:r>
      <w:r w:rsidRPr="00D92BFA">
        <w:t xml:space="preserve"> languages.</w:t>
      </w:r>
    </w:p>
    <w:p w14:paraId="575EBA70" w14:textId="77777777" w:rsidR="00DB666D" w:rsidRDefault="00DB666D" w:rsidP="00DB666D">
      <w:pPr>
        <w:pStyle w:val="ListParagraph"/>
        <w:spacing w:line="240" w:lineRule="auto"/>
        <w:jc w:val="both"/>
      </w:pPr>
    </w:p>
    <w:p w14:paraId="1A232F3B" w14:textId="714E9E0A" w:rsidR="00DB666D" w:rsidRPr="00D92BFA" w:rsidRDefault="00DB666D" w:rsidP="00DB666D">
      <w:pPr>
        <w:pStyle w:val="ListParagraph"/>
        <w:spacing w:line="240" w:lineRule="auto"/>
        <w:jc w:val="both"/>
      </w:pPr>
      <w:r>
        <w:t>Not applicable.</w:t>
      </w:r>
    </w:p>
    <w:p w14:paraId="45C6EE01" w14:textId="63F0D174" w:rsidR="00E56A76" w:rsidRDefault="00E56A76" w:rsidP="007C3AF8">
      <w:pPr>
        <w:spacing w:after="240" w:line="240" w:lineRule="auto"/>
        <w:ind w:left="360" w:hanging="360"/>
        <w:jc w:val="both"/>
      </w:pPr>
      <w:r>
        <w:t xml:space="preserve">11. </w:t>
      </w:r>
      <w:r w:rsidR="00FF0456" w:rsidRPr="00D92BFA">
        <w:t xml:space="preserve">Transportation-related </w:t>
      </w:r>
      <w:r w:rsidR="00C208D0">
        <w:t xml:space="preserve">Construction </w:t>
      </w:r>
      <w:r w:rsidR="00FF0456" w:rsidRPr="00D92BFA">
        <w:t xml:space="preserve">and </w:t>
      </w:r>
      <w:r w:rsidR="00164694" w:rsidRPr="00D92BFA">
        <w:t>Consultant Contracts (if applicable)</w:t>
      </w:r>
      <w:r w:rsidR="00F378AD">
        <w:t>:</w:t>
      </w:r>
      <w:r w:rsidR="00164694" w:rsidRPr="00D92BFA">
        <w:t xml:space="preserve"> Briefly describe the process </w:t>
      </w:r>
      <w:r>
        <w:t xml:space="preserve">used to advertise and award construction contracts during this reporting period. Include the process </w:t>
      </w:r>
      <w:proofErr w:type="gramStart"/>
      <w:r>
        <w:t>for</w:t>
      </w:r>
      <w:proofErr w:type="gramEnd"/>
      <w:r>
        <w:t xml:space="preserve"> negotiat</w:t>
      </w:r>
      <w:r w:rsidR="00275D6F">
        <w:t>ing</w:t>
      </w:r>
      <w:r>
        <w:t xml:space="preserve"> contracts (e.g., consultants).</w:t>
      </w:r>
      <w:r w:rsidR="007B3E16">
        <w:t xml:space="preserve"> </w:t>
      </w:r>
    </w:p>
    <w:p w14:paraId="683B69FB" w14:textId="0732B93B" w:rsidR="00E66E13" w:rsidRDefault="00E66E13" w:rsidP="007C3AF8">
      <w:pPr>
        <w:spacing w:after="240" w:line="240" w:lineRule="auto"/>
        <w:ind w:left="360" w:hanging="360"/>
        <w:jc w:val="both"/>
      </w:pPr>
      <w:r w:rsidRPr="009F6DAC">
        <w:t xml:space="preserve">We advertised and awarded </w:t>
      </w:r>
      <w:r w:rsidR="00EE77FB" w:rsidRPr="009F6DAC">
        <w:t xml:space="preserve">contracts </w:t>
      </w:r>
      <w:r w:rsidRPr="009F6DAC">
        <w:t>per the standards in the LAG Manual.</w:t>
      </w:r>
      <w:r w:rsidR="00BD0DF5" w:rsidRPr="009F6DAC">
        <w:t xml:space="preserve"> We have WSDOT-HQ acceptance and approval letters for</w:t>
      </w:r>
      <w:r w:rsidR="00EE77FB" w:rsidRPr="009F6DAC">
        <w:t xml:space="preserve"> the</w:t>
      </w:r>
      <w:r w:rsidR="00BD0DF5" w:rsidRPr="009F6DAC">
        <w:t xml:space="preserve"> award of the contracts</w:t>
      </w:r>
      <w:r w:rsidR="00DA727A" w:rsidRPr="009F6DAC">
        <w:t>. We have a construction contract and a construction management contract for the Main St</w:t>
      </w:r>
      <w:r w:rsidR="009F6DAC" w:rsidRPr="009F6DAC">
        <w:t>reet</w:t>
      </w:r>
      <w:r w:rsidR="00DA727A" w:rsidRPr="009F6DAC">
        <w:t xml:space="preserve"> Project.</w:t>
      </w:r>
    </w:p>
    <w:p w14:paraId="70A2E797" w14:textId="761A4CC6" w:rsidR="00A13E9F" w:rsidRDefault="00164694" w:rsidP="00DF2F70">
      <w:pPr>
        <w:pStyle w:val="ListParagraph"/>
        <w:numPr>
          <w:ilvl w:val="0"/>
          <w:numId w:val="3"/>
        </w:numPr>
        <w:spacing w:after="240" w:line="240" w:lineRule="auto"/>
        <w:jc w:val="both"/>
      </w:pPr>
      <w:r w:rsidRPr="00D92BFA">
        <w:t xml:space="preserve">Describe the actions taken to promote </w:t>
      </w:r>
      <w:r w:rsidR="00127AC2">
        <w:t xml:space="preserve">construction contractor/consultant </w:t>
      </w:r>
      <w:r w:rsidR="00FE45B6" w:rsidRPr="00D92BFA">
        <w:t xml:space="preserve">compliance with Title </w:t>
      </w:r>
      <w:proofErr w:type="gramStart"/>
      <w:r w:rsidR="00FE45B6" w:rsidRPr="00D92BFA">
        <w:t>VI</w:t>
      </w:r>
      <w:r w:rsidR="00FE45B6">
        <w:t xml:space="preserve">  by</w:t>
      </w:r>
      <w:proofErr w:type="gramEnd"/>
      <w:r w:rsidR="00FE45B6">
        <w:t xml:space="preserve"> construction contractors/</w:t>
      </w:r>
      <w:r w:rsidRPr="00D92BFA">
        <w:t>consultants, including monitoring and review processes, and th</w:t>
      </w:r>
      <w:r w:rsidR="00C208D0">
        <w:t>eir outcomes/status (e.g. what</w:t>
      </w:r>
      <w:r w:rsidRPr="00D92BFA">
        <w:t xml:space="preserve"> Title VI language</w:t>
      </w:r>
      <w:r w:rsidR="00FA3691">
        <w:t xml:space="preserve"> wa</w:t>
      </w:r>
      <w:r w:rsidR="00C208D0">
        <w:t>s</w:t>
      </w:r>
      <w:r w:rsidR="00FA3691">
        <w:t xml:space="preserve"> included in </w:t>
      </w:r>
      <w:r w:rsidRPr="00D92BFA">
        <w:t xml:space="preserve">contracts and agreements; were contractors and consultants reviewed to ensure compliance; </w:t>
      </w:r>
      <w:r w:rsidR="00C208D0">
        <w:t>what</w:t>
      </w:r>
      <w:r w:rsidRPr="00D92BFA">
        <w:t xml:space="preserve"> Title VI responsibilities </w:t>
      </w:r>
      <w:r w:rsidR="00C208D0">
        <w:t xml:space="preserve">are </w:t>
      </w:r>
      <w:r w:rsidRPr="00D92BFA">
        <w:t>explained to contractors and consultants?)</w:t>
      </w:r>
    </w:p>
    <w:p w14:paraId="43A80DAC" w14:textId="77777777" w:rsidR="009F6DAC" w:rsidRDefault="009F6DAC" w:rsidP="009F6DAC">
      <w:pPr>
        <w:pStyle w:val="ListParagraph"/>
        <w:spacing w:after="240" w:line="240" w:lineRule="auto"/>
        <w:jc w:val="both"/>
      </w:pPr>
    </w:p>
    <w:p w14:paraId="633DEC7B" w14:textId="46615F57" w:rsidR="007A2B1F" w:rsidRPr="00B43CE6" w:rsidRDefault="0033781D" w:rsidP="005F5D48">
      <w:pPr>
        <w:pStyle w:val="ListParagraph"/>
        <w:spacing w:after="240" w:line="240" w:lineRule="auto"/>
        <w:jc w:val="both"/>
      </w:pPr>
      <w:r w:rsidRPr="00B43CE6">
        <w:t xml:space="preserve">Our advertisements </w:t>
      </w:r>
      <w:r w:rsidR="003B547D" w:rsidRPr="00B43CE6">
        <w:t>include the following language around nondiscrimination:</w:t>
      </w:r>
    </w:p>
    <w:p w14:paraId="511E9CF9" w14:textId="77777777" w:rsidR="003B547D" w:rsidRDefault="003B547D" w:rsidP="005F5D48">
      <w:pPr>
        <w:pStyle w:val="ListParagraph"/>
        <w:spacing w:after="240" w:line="240" w:lineRule="auto"/>
        <w:jc w:val="both"/>
        <w:rPr>
          <w:highlight w:val="yellow"/>
        </w:rPr>
      </w:pPr>
    </w:p>
    <w:p w14:paraId="45782179" w14:textId="09DC95D1" w:rsidR="0011353B" w:rsidRPr="00365DDC" w:rsidRDefault="0011353B" w:rsidP="0011353B">
      <w:r w:rsidRPr="00365DDC">
        <w:t>The City of Lake Stevens, in accordance with Title VI of the Civil Rights Act of 1964, 78 Stat.252, 42 U.S.C. 2000d to 2000d-4, Title 49, Code of Federal Regulations, Department of Transportation, Subtitle A, Office of the Secretary, Part 21, Nondiscrimination in Federally assisted programs of the Department of Transportation issued pursuant to such Act, and RCW 49.60.180(1) hereby notifies all bidders that it will affirmatively ensure that in any contract entered into pursuant to this advertisement, disadvantaged business enterprises as defined at 49 CFR Part 26 will be afforded full opportunity to submit bids in response to this invitation and will not be discriminated against on the grounds of race, color, national origin, sex or sexual orientation in consideration for an award.</w:t>
      </w:r>
    </w:p>
    <w:p w14:paraId="1FDE2F76" w14:textId="2CA8E7A4" w:rsidR="003B547D" w:rsidRDefault="003B547D" w:rsidP="005F5D48">
      <w:pPr>
        <w:pStyle w:val="ListParagraph"/>
        <w:spacing w:after="240" w:line="240" w:lineRule="auto"/>
        <w:jc w:val="both"/>
        <w:rPr>
          <w:highlight w:val="yellow"/>
        </w:rPr>
      </w:pPr>
    </w:p>
    <w:p w14:paraId="544FB496" w14:textId="77777777" w:rsidR="007A2B1F" w:rsidRDefault="007A2B1F" w:rsidP="005F5D48">
      <w:pPr>
        <w:pStyle w:val="ListParagraph"/>
        <w:spacing w:after="240" w:line="240" w:lineRule="auto"/>
        <w:jc w:val="both"/>
        <w:rPr>
          <w:highlight w:val="yellow"/>
        </w:rPr>
      </w:pPr>
    </w:p>
    <w:p w14:paraId="535B3250" w14:textId="35F02E8D" w:rsidR="00667BD2" w:rsidRPr="00B43CE6" w:rsidRDefault="003B2B38" w:rsidP="005F5D48">
      <w:pPr>
        <w:pStyle w:val="ListParagraph"/>
        <w:spacing w:after="240" w:line="240" w:lineRule="auto"/>
        <w:jc w:val="both"/>
      </w:pPr>
      <w:r w:rsidRPr="00B43CE6">
        <w:t>Our con</w:t>
      </w:r>
      <w:r w:rsidR="005E59A7" w:rsidRPr="00B43CE6">
        <w:t>s</w:t>
      </w:r>
      <w:r w:rsidRPr="00B43CE6">
        <w:t>tr</w:t>
      </w:r>
      <w:r w:rsidR="005E59A7" w:rsidRPr="00B43CE6">
        <w:t>uction contracts</w:t>
      </w:r>
      <w:r w:rsidRPr="00B43CE6">
        <w:t xml:space="preserve"> include the following language around </w:t>
      </w:r>
      <w:r w:rsidR="00C87922" w:rsidRPr="00B43CE6">
        <w:t>nondiscrimination:</w:t>
      </w:r>
    </w:p>
    <w:p w14:paraId="49B6A2AD" w14:textId="77777777" w:rsidR="00C87922" w:rsidRDefault="00C87922" w:rsidP="005F5D48">
      <w:pPr>
        <w:pStyle w:val="ListParagraph"/>
        <w:spacing w:after="240" w:line="240" w:lineRule="auto"/>
        <w:jc w:val="both"/>
      </w:pPr>
    </w:p>
    <w:p w14:paraId="2892ED30" w14:textId="120E9C3D" w:rsidR="00C87922" w:rsidRPr="00365DDC" w:rsidRDefault="00C87922" w:rsidP="005F5D48">
      <w:pPr>
        <w:pStyle w:val="ListParagraph"/>
        <w:spacing w:after="240" w:line="240" w:lineRule="auto"/>
        <w:jc w:val="both"/>
      </w:pPr>
      <w:r w:rsidRPr="00365DDC">
        <w:rPr>
          <w:b/>
          <w:bCs/>
        </w:rPr>
        <w:t>Nondiscrimination.</w:t>
      </w:r>
      <w:r w:rsidRPr="00365DDC">
        <w:t xml:space="preserve">  During the performance of the Work of this Agreement, the Contractor, including all subcontractors, shall comply with all applicable equal opportunity laws and/or regulations and shall not discriminate on the basis of race, age, color, sex, sexual orientation, religion, national origin, creed, veteran status, marital status, political affiliation, and/or the presence of any sensory, mental, or physical handicap.  This provision shall include, but not be </w:t>
      </w:r>
      <w:r w:rsidRPr="00365DDC">
        <w:lastRenderedPageBreak/>
        <w:t>limited to, the following:  employment, upgrading, demotion, transfer, recruitment, advertising, layoff or termination, rates of pay or other forms of compensation, selection for training, and the specifications and provisions of Work under this Agreement.  This provision shall include strict compliance with all requirements of applicable federal, state, and/or local laws or regulations issued pursuant thereto and/or identified in the provisions of this Agreement, relating to the establishment of nondiscriminatory requirements in hiring and employment practices and assuring the service to the public and/or City staff without discrimination with respect to the above-listed statuses.  The Contractor further agrees to maintain notices, posted in conspicuous places, setting forth provisions of this nondiscrimination clause. The Contractor understands that violation of this provision shall be cause for punitive actions by the City up to and including termination for cause of this Agreement.    The Contractor may be further barred from performing any services or work for the City in the future unless and until the Contractor demonstrates to the satisfaction of the City that discriminatory practices have been eliminated and that recurrence of such discriminatory practices is unlikely.</w:t>
      </w:r>
    </w:p>
    <w:p w14:paraId="4B0342DB" w14:textId="77777777" w:rsidR="00BE6722" w:rsidRDefault="00BE6722" w:rsidP="005F5D48">
      <w:pPr>
        <w:pStyle w:val="ListParagraph"/>
        <w:spacing w:after="240" w:line="240" w:lineRule="auto"/>
        <w:jc w:val="both"/>
        <w:rPr>
          <w:i/>
          <w:iCs/>
          <w:highlight w:val="yellow"/>
        </w:rPr>
      </w:pPr>
    </w:p>
    <w:p w14:paraId="4D020FDD" w14:textId="315AB8E6" w:rsidR="00BE6722" w:rsidRPr="00B43CE6" w:rsidRDefault="00BE6722" w:rsidP="005F5D48">
      <w:pPr>
        <w:pStyle w:val="ListParagraph"/>
        <w:spacing w:after="240" w:line="240" w:lineRule="auto"/>
        <w:jc w:val="both"/>
      </w:pPr>
      <w:r w:rsidRPr="00B43CE6">
        <w:t xml:space="preserve">Our Professional Services Agreements (contract for consultants) include the following </w:t>
      </w:r>
      <w:r w:rsidR="00E307BB" w:rsidRPr="00B43CE6">
        <w:t>language around nondiscrimination:</w:t>
      </w:r>
    </w:p>
    <w:p w14:paraId="02F79E48" w14:textId="77777777" w:rsidR="00E307BB" w:rsidRDefault="00E307BB" w:rsidP="005F5D48">
      <w:pPr>
        <w:pStyle w:val="ListParagraph"/>
        <w:spacing w:after="240" w:line="240" w:lineRule="auto"/>
        <w:jc w:val="both"/>
        <w:rPr>
          <w:highlight w:val="yellow"/>
        </w:rPr>
      </w:pPr>
    </w:p>
    <w:p w14:paraId="574B12BA" w14:textId="18C332AD" w:rsidR="00DF2F70" w:rsidRDefault="00A96F76" w:rsidP="00E63E3B">
      <w:pPr>
        <w:pStyle w:val="ListParagraph"/>
        <w:spacing w:after="240" w:line="240" w:lineRule="auto"/>
        <w:jc w:val="both"/>
        <w:rPr>
          <w:highlight w:val="yellow"/>
        </w:rPr>
      </w:pPr>
      <w:r w:rsidRPr="00A96F76">
        <w:rPr>
          <w:noProof/>
        </w:rPr>
        <w:drawing>
          <wp:inline distT="0" distB="0" distL="0" distR="0" wp14:anchorId="0FA24DC9" wp14:editId="7ACDAA6D">
            <wp:extent cx="4910097" cy="2330198"/>
            <wp:effectExtent l="19050" t="19050" r="24130" b="13335"/>
            <wp:docPr id="44327329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73290" name="Picture 1" descr="Text&#10;&#10;AI-generated content may be incorrect."/>
                    <pic:cNvPicPr/>
                  </pic:nvPicPr>
                  <pic:blipFill>
                    <a:blip r:embed="rId12"/>
                    <a:stretch>
                      <a:fillRect/>
                    </a:stretch>
                  </pic:blipFill>
                  <pic:spPr>
                    <a:xfrm>
                      <a:off x="0" y="0"/>
                      <a:ext cx="4911952" cy="2331078"/>
                    </a:xfrm>
                    <a:prstGeom prst="rect">
                      <a:avLst/>
                    </a:prstGeom>
                    <a:ln>
                      <a:solidFill>
                        <a:schemeClr val="tx1"/>
                      </a:solidFill>
                    </a:ln>
                  </pic:spPr>
                </pic:pic>
              </a:graphicData>
            </a:graphic>
          </wp:inline>
        </w:drawing>
      </w:r>
    </w:p>
    <w:p w14:paraId="0F699FB0" w14:textId="77777777" w:rsidR="00E63E3B" w:rsidRPr="00E63E3B" w:rsidRDefault="00E63E3B" w:rsidP="00E63E3B">
      <w:pPr>
        <w:pStyle w:val="ListParagraph"/>
        <w:spacing w:after="240" w:line="240" w:lineRule="auto"/>
        <w:jc w:val="both"/>
        <w:rPr>
          <w:highlight w:val="yellow"/>
        </w:rPr>
      </w:pPr>
    </w:p>
    <w:p w14:paraId="400D3549" w14:textId="332C472B" w:rsidR="00DF2F70" w:rsidRDefault="00DF2F70" w:rsidP="00DF2F70">
      <w:pPr>
        <w:pStyle w:val="ListParagraph"/>
        <w:spacing w:after="240" w:line="240" w:lineRule="auto"/>
        <w:jc w:val="both"/>
      </w:pPr>
      <w:r w:rsidRPr="00365DDC">
        <w:t xml:space="preserve">We follow the LAG Manual and follow WSDOT’s standard compliance regulations in </w:t>
      </w:r>
      <w:r w:rsidR="00403277" w:rsidRPr="00365DDC">
        <w:t>accordance</w:t>
      </w:r>
      <w:r w:rsidRPr="00365DDC">
        <w:t xml:space="preserve"> with Title VI in our contracts</w:t>
      </w:r>
      <w:r w:rsidR="00403277" w:rsidRPr="00365DDC">
        <w:t>.</w:t>
      </w:r>
    </w:p>
    <w:p w14:paraId="16EB3CA6" w14:textId="77777777" w:rsidR="009F6DAC" w:rsidRDefault="009F6DAC" w:rsidP="00DF2F70">
      <w:pPr>
        <w:pStyle w:val="ListParagraph"/>
        <w:spacing w:after="240" w:line="240" w:lineRule="auto"/>
        <w:jc w:val="both"/>
      </w:pPr>
    </w:p>
    <w:p w14:paraId="16865120" w14:textId="66C8F99B" w:rsidR="00FE45B6" w:rsidRDefault="00FF0456" w:rsidP="004D4C9F">
      <w:pPr>
        <w:pStyle w:val="ListParagraph"/>
        <w:numPr>
          <w:ilvl w:val="0"/>
          <w:numId w:val="3"/>
        </w:numPr>
        <w:spacing w:after="240" w:line="240" w:lineRule="auto"/>
        <w:jc w:val="both"/>
      </w:pPr>
      <w:r w:rsidRPr="00D92BFA">
        <w:t>List construction</w:t>
      </w:r>
      <w:r w:rsidR="00D92BFA" w:rsidRPr="00D92BFA">
        <w:t>, right-of-way,</w:t>
      </w:r>
      <w:r w:rsidRPr="00D92BFA">
        <w:t xml:space="preserve"> and consultant</w:t>
      </w:r>
      <w:r w:rsidR="00164694" w:rsidRPr="00D92BFA">
        <w:t xml:space="preserve"> con</w:t>
      </w:r>
      <w:r w:rsidRPr="00D92BFA">
        <w:t>tracts with your LPA/MPO</w:t>
      </w:r>
      <w:r w:rsidR="0096523F">
        <w:t>/entity for this report period with dollar value of each.</w:t>
      </w:r>
      <w:r w:rsidR="00D92BFA" w:rsidRPr="00D92BFA">
        <w:t xml:space="preserve"> Identify </w:t>
      </w:r>
      <w:r w:rsidR="00C208D0">
        <w:t>funding source</w:t>
      </w:r>
      <w:r w:rsidR="009D7572">
        <w:t>s</w:t>
      </w:r>
      <w:r w:rsidR="00C208D0">
        <w:t xml:space="preserve"> (federal, state, local, other),</w:t>
      </w:r>
      <w:r w:rsidR="00FE45B6">
        <w:t xml:space="preserve"> and how many were awarded to certified disadvantaged contractors (as a prime contractor/consultant).</w:t>
      </w:r>
      <w:r w:rsidR="00C208D0">
        <w:t xml:space="preserve"> </w:t>
      </w:r>
    </w:p>
    <w:p w14:paraId="7ECDF7E8" w14:textId="29E7A42A" w:rsidR="004E7578" w:rsidRPr="00672E96" w:rsidRDefault="00497E73" w:rsidP="004D4C9F">
      <w:pPr>
        <w:spacing w:after="240" w:line="240" w:lineRule="auto"/>
        <w:jc w:val="both"/>
      </w:pPr>
      <w:r w:rsidRPr="00672E96">
        <w:t xml:space="preserve">Construction Contractor for the Main Street </w:t>
      </w:r>
      <w:proofErr w:type="gramStart"/>
      <w:r w:rsidRPr="00672E96">
        <w:t xml:space="preserve">Project </w:t>
      </w:r>
      <w:r w:rsidR="00672E96" w:rsidRPr="00672E96">
        <w:t xml:space="preserve"> -</w:t>
      </w:r>
      <w:proofErr w:type="gramEnd"/>
      <w:r w:rsidR="00672E96" w:rsidRPr="00672E96">
        <w:t xml:space="preserve">  </w:t>
      </w:r>
      <w:proofErr w:type="gramStart"/>
      <w:r w:rsidR="00C37846" w:rsidRPr="00672E96">
        <w:t>SC</w:t>
      </w:r>
      <w:r w:rsidR="00DC09E5">
        <w:t>I</w:t>
      </w:r>
      <w:r w:rsidR="009A5D08" w:rsidRPr="00672E96">
        <w:t xml:space="preserve"> :</w:t>
      </w:r>
      <w:proofErr w:type="gramEnd"/>
      <w:r w:rsidR="009A5D08" w:rsidRPr="00672E96">
        <w:t xml:space="preserve"> $3,076,521.71</w:t>
      </w:r>
    </w:p>
    <w:p w14:paraId="7EA5778B" w14:textId="7F935BB9" w:rsidR="00965528" w:rsidRPr="00672E96" w:rsidRDefault="00672E96" w:rsidP="004D4C9F">
      <w:pPr>
        <w:spacing w:after="240" w:line="240" w:lineRule="auto"/>
        <w:jc w:val="both"/>
      </w:pPr>
      <w:r w:rsidRPr="00672E96">
        <w:t xml:space="preserve">Construction Management Contract for the Main Street Project - </w:t>
      </w:r>
      <w:r w:rsidR="00965528" w:rsidRPr="00672E96">
        <w:t>KBA: $</w:t>
      </w:r>
      <w:r w:rsidR="00787B83" w:rsidRPr="00672E96">
        <w:t xml:space="preserve">411,861.00 with 19% DBE participation. </w:t>
      </w:r>
    </w:p>
    <w:p w14:paraId="46EC0001" w14:textId="456640BA" w:rsidR="004D4C9F" w:rsidRPr="005B7240" w:rsidRDefault="004D4C9F" w:rsidP="004D4C9F">
      <w:pPr>
        <w:spacing w:after="240" w:line="240" w:lineRule="auto"/>
        <w:jc w:val="both"/>
      </w:pPr>
      <w:r w:rsidRPr="005B7240">
        <w:t>No contracts were awarded to DBE contractors during this reporting period as a prime</w:t>
      </w:r>
      <w:r w:rsidR="00B43AF5" w:rsidRPr="005B7240">
        <w:t xml:space="preserve">. DBE goals were set by WSDOT and were met </w:t>
      </w:r>
      <w:proofErr w:type="gramStart"/>
      <w:r w:rsidR="00B43AF5" w:rsidRPr="005B7240">
        <w:t>for</w:t>
      </w:r>
      <w:proofErr w:type="gramEnd"/>
      <w:r w:rsidR="00B43AF5" w:rsidRPr="005B7240">
        <w:t xml:space="preserve"> sub-consultants during this reporting period.</w:t>
      </w:r>
    </w:p>
    <w:p w14:paraId="087E4A98" w14:textId="3A91EC84" w:rsidR="006C0CC2" w:rsidRDefault="00572497" w:rsidP="004D4C9F">
      <w:pPr>
        <w:spacing w:after="240" w:line="240" w:lineRule="auto"/>
        <w:jc w:val="both"/>
      </w:pPr>
      <w:r w:rsidRPr="005B7240">
        <w:lastRenderedPageBreak/>
        <w:t>Th</w:t>
      </w:r>
      <w:r w:rsidR="005B7240" w:rsidRPr="005B7240">
        <w:t>e</w:t>
      </w:r>
      <w:r w:rsidR="00B85E57" w:rsidRPr="005B7240">
        <w:t xml:space="preserve"> </w:t>
      </w:r>
      <w:r w:rsidR="005B7240" w:rsidRPr="005B7240">
        <w:t>f</w:t>
      </w:r>
      <w:r w:rsidR="00B85E57" w:rsidRPr="005B7240">
        <w:t>unding for this project included Federal Grant from FHWA at 86.5% and a local match of 13.5%.</w:t>
      </w:r>
    </w:p>
    <w:p w14:paraId="39E2F1CC" w14:textId="34CB5A42" w:rsidR="00164694" w:rsidRPr="00D92BFA" w:rsidRDefault="00FE45B6" w:rsidP="007C3AF8">
      <w:pPr>
        <w:spacing w:after="240" w:line="240" w:lineRule="auto"/>
        <w:ind w:left="360" w:hanging="360"/>
        <w:jc w:val="both"/>
      </w:pPr>
      <w:r>
        <w:t>14</w:t>
      </w:r>
      <w:proofErr w:type="gramStart"/>
      <w:r>
        <w:t>.</w:t>
      </w:r>
      <w:r w:rsidR="00A169E3">
        <w:t xml:space="preserve"> </w:t>
      </w:r>
      <w:r>
        <w:t xml:space="preserve"> </w:t>
      </w:r>
      <w:r w:rsidR="00654C30" w:rsidRPr="00D92BFA">
        <w:t>Edu</w:t>
      </w:r>
      <w:r w:rsidR="00127AC2">
        <w:t>cation</w:t>
      </w:r>
      <w:proofErr w:type="gramEnd"/>
      <w:r w:rsidR="00127AC2">
        <w:t xml:space="preserve"> &amp; Training</w:t>
      </w:r>
      <w:r w:rsidR="002910F5">
        <w:t>:</w:t>
      </w:r>
      <w:r w:rsidR="00127AC2">
        <w:t xml:space="preserve"> Describe</w:t>
      </w:r>
      <w:r w:rsidR="00654C30" w:rsidRPr="00D92BFA">
        <w:t xml:space="preserve"> actions taken to promote Title VI compliance </w:t>
      </w:r>
      <w:r w:rsidR="009D7572">
        <w:t>through</w:t>
      </w:r>
      <w:r w:rsidR="00654C30" w:rsidRPr="00D92BFA">
        <w:t xml:space="preserve"> education and </w:t>
      </w:r>
      <w:proofErr w:type="gramStart"/>
      <w:r w:rsidR="00654C30" w:rsidRPr="00D92BFA">
        <w:t>trainings</w:t>
      </w:r>
      <w:proofErr w:type="gramEnd"/>
      <w:r w:rsidR="00654C30" w:rsidRPr="00D92BFA">
        <w:t>, including monitoring and review processes, and their outcomes/status.</w:t>
      </w:r>
      <w:r w:rsidR="00B85E57">
        <w:t xml:space="preserve"> </w:t>
      </w:r>
    </w:p>
    <w:p w14:paraId="5262E94A" w14:textId="659C48EA" w:rsidR="00654C30" w:rsidRPr="00D92BFA" w:rsidRDefault="00576E7A" w:rsidP="003A6C59">
      <w:pPr>
        <w:spacing w:line="240" w:lineRule="auto"/>
        <w:ind w:left="360"/>
        <w:jc w:val="both"/>
      </w:pPr>
      <w:r>
        <w:t xml:space="preserve">1. </w:t>
      </w:r>
      <w:r w:rsidR="00E433E4">
        <w:t>List</w:t>
      </w:r>
      <w:r w:rsidR="00654C30" w:rsidRPr="00D92BFA">
        <w:t xml:space="preserve"> Title VI </w:t>
      </w:r>
      <w:r w:rsidR="00E433E4">
        <w:t xml:space="preserve">training/webinars your </w:t>
      </w:r>
      <w:r w:rsidR="00E433E4" w:rsidRPr="00B466AE">
        <w:rPr>
          <w:color w:val="FF0000"/>
        </w:rPr>
        <w:t xml:space="preserve">Title VI </w:t>
      </w:r>
      <w:r w:rsidR="00654C30" w:rsidRPr="00B466AE">
        <w:rPr>
          <w:color w:val="FF0000"/>
        </w:rPr>
        <w:t xml:space="preserve">Coordinator </w:t>
      </w:r>
      <w:r w:rsidR="00654C30" w:rsidRPr="00D92BFA">
        <w:t>attend</w:t>
      </w:r>
      <w:r w:rsidR="008F6272">
        <w:t>ed</w:t>
      </w:r>
      <w:r w:rsidR="00654C30" w:rsidRPr="00D92BFA">
        <w:t xml:space="preserve"> </w:t>
      </w:r>
      <w:r w:rsidR="00E433E4">
        <w:t>this reporting period.</w:t>
      </w:r>
      <w:r w:rsidR="00654C30" w:rsidRPr="00D92BFA">
        <w:t xml:space="preserve"> </w:t>
      </w:r>
      <w:r w:rsidR="00E433E4">
        <w:t>Include dates and entity that conducted the training.</w:t>
      </w:r>
    </w:p>
    <w:p w14:paraId="379C8EFB" w14:textId="776AA599" w:rsidR="00654C30" w:rsidRDefault="00576E7A" w:rsidP="00D92BFA">
      <w:pPr>
        <w:spacing w:line="240" w:lineRule="auto"/>
        <w:ind w:left="360"/>
        <w:jc w:val="both"/>
      </w:pPr>
      <w:r>
        <w:t xml:space="preserve">2. </w:t>
      </w:r>
      <w:r w:rsidR="0096523F">
        <w:t xml:space="preserve">When </w:t>
      </w:r>
      <w:r w:rsidR="00FA3691">
        <w:t>was</w:t>
      </w:r>
      <w:r w:rsidR="00654C30" w:rsidRPr="00D92BFA">
        <w:t xml:space="preserve"> Title VI </w:t>
      </w:r>
      <w:r w:rsidR="00FA3691">
        <w:t xml:space="preserve">internal </w:t>
      </w:r>
      <w:r w:rsidR="00654C30" w:rsidRPr="00D92BFA">
        <w:t xml:space="preserve">training </w:t>
      </w:r>
      <w:r w:rsidR="00FA3691">
        <w:t xml:space="preserve">provided </w:t>
      </w:r>
      <w:proofErr w:type="gramStart"/>
      <w:r w:rsidR="00654C30" w:rsidRPr="00D92BFA">
        <w:t>to</w:t>
      </w:r>
      <w:proofErr w:type="gramEnd"/>
      <w:r w:rsidR="00654C30" w:rsidRPr="00D92BFA">
        <w:t xml:space="preserve"> </w:t>
      </w:r>
      <w:r w:rsidR="00654C30" w:rsidRPr="00B466AE">
        <w:rPr>
          <w:color w:val="FF0000"/>
        </w:rPr>
        <w:t>staff</w:t>
      </w:r>
      <w:r w:rsidR="00654C30" w:rsidRPr="00D92BFA">
        <w:t xml:space="preserve">? Who </w:t>
      </w:r>
      <w:r w:rsidR="00E6720B">
        <w:t>conduct</w:t>
      </w:r>
      <w:r w:rsidR="00654C30" w:rsidRPr="00D92BFA">
        <w:t>ed</w:t>
      </w:r>
      <w:r w:rsidR="00E6720B">
        <w:t xml:space="preserve"> the training</w:t>
      </w:r>
      <w:r w:rsidR="00654C30" w:rsidRPr="00D92BFA">
        <w:t xml:space="preserve">? What </w:t>
      </w:r>
      <w:r w:rsidR="00E433E4">
        <w:t>was the subject of the training</w:t>
      </w:r>
      <w:r w:rsidR="00654C30" w:rsidRPr="00D92BFA">
        <w:t xml:space="preserve">? Provide the job titles and </w:t>
      </w:r>
      <w:r w:rsidR="00FE45B6">
        <w:t>race/color/national origin</w:t>
      </w:r>
      <w:r w:rsidR="00654C30" w:rsidRPr="00D92BFA">
        <w:t xml:space="preserve"> of attendees.</w:t>
      </w:r>
    </w:p>
    <w:tbl>
      <w:tblPr>
        <w:tblStyle w:val="GridTable1Light"/>
        <w:tblW w:w="0" w:type="auto"/>
        <w:tblLook w:val="04A0" w:firstRow="1" w:lastRow="0" w:firstColumn="1" w:lastColumn="0" w:noHBand="0" w:noVBand="1"/>
      </w:tblPr>
      <w:tblGrid>
        <w:gridCol w:w="1204"/>
        <w:gridCol w:w="1216"/>
        <w:gridCol w:w="1278"/>
        <w:gridCol w:w="1304"/>
        <w:gridCol w:w="1527"/>
        <w:gridCol w:w="970"/>
        <w:gridCol w:w="761"/>
        <w:gridCol w:w="999"/>
      </w:tblGrid>
      <w:tr w:rsidR="00B466AE" w14:paraId="070261D5" w14:textId="77777777" w:rsidTr="00C5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tcPr>
          <w:p w14:paraId="754803EF" w14:textId="77777777" w:rsidR="00B466AE" w:rsidRPr="00EC2204" w:rsidRDefault="00B466AE" w:rsidP="00C57C5F">
            <w:pPr>
              <w:spacing w:after="240"/>
              <w:jc w:val="both"/>
            </w:pPr>
            <w:r w:rsidRPr="00EC2204">
              <w:t>Who Conducted the Training?</w:t>
            </w:r>
          </w:p>
        </w:tc>
        <w:tc>
          <w:tcPr>
            <w:tcW w:w="1216" w:type="dxa"/>
          </w:tcPr>
          <w:p w14:paraId="66CBDE36" w14:textId="77777777" w:rsidR="00B466AE" w:rsidRPr="00EC2204" w:rsidRDefault="00B466AE" w:rsidP="00C57C5F">
            <w:pPr>
              <w:spacing w:after="240"/>
              <w:jc w:val="both"/>
              <w:cnfStyle w:val="100000000000" w:firstRow="1" w:lastRow="0" w:firstColumn="0" w:lastColumn="0" w:oddVBand="0" w:evenVBand="0" w:oddHBand="0" w:evenHBand="0" w:firstRowFirstColumn="0" w:firstRowLastColumn="0" w:lastRowFirstColumn="0" w:lastRowLastColumn="0"/>
            </w:pPr>
            <w:r w:rsidRPr="00EC2204">
              <w:t>Subject</w:t>
            </w:r>
          </w:p>
        </w:tc>
        <w:tc>
          <w:tcPr>
            <w:tcW w:w="1218" w:type="dxa"/>
          </w:tcPr>
          <w:p w14:paraId="3618AE3C" w14:textId="77777777" w:rsidR="00B466AE" w:rsidRPr="00EC2204" w:rsidRDefault="00B466AE" w:rsidP="00C57C5F">
            <w:pPr>
              <w:spacing w:after="240"/>
              <w:jc w:val="both"/>
              <w:cnfStyle w:val="100000000000" w:firstRow="1" w:lastRow="0" w:firstColumn="0" w:lastColumn="0" w:oddVBand="0" w:evenVBand="0" w:oddHBand="0" w:evenHBand="0" w:firstRowFirstColumn="0" w:firstRowLastColumn="0" w:lastRowFirstColumn="0" w:lastRowLastColumn="0"/>
            </w:pPr>
            <w:r w:rsidRPr="00EC2204">
              <w:t>Date Training was Completed</w:t>
            </w:r>
          </w:p>
        </w:tc>
        <w:tc>
          <w:tcPr>
            <w:tcW w:w="1304" w:type="dxa"/>
          </w:tcPr>
          <w:p w14:paraId="6BE10DDC" w14:textId="77777777" w:rsidR="00B466AE" w:rsidRPr="00EC2204" w:rsidRDefault="00B466AE" w:rsidP="00C57C5F">
            <w:pPr>
              <w:spacing w:after="240"/>
              <w:jc w:val="both"/>
              <w:cnfStyle w:val="100000000000" w:firstRow="1" w:lastRow="0" w:firstColumn="0" w:lastColumn="0" w:oddVBand="0" w:evenVBand="0" w:oddHBand="0" w:evenHBand="0" w:firstRowFirstColumn="0" w:firstRowLastColumn="0" w:lastRowFirstColumn="0" w:lastRowLastColumn="0"/>
            </w:pPr>
            <w:r w:rsidRPr="00EC2204">
              <w:t>Employee Name</w:t>
            </w:r>
          </w:p>
        </w:tc>
        <w:tc>
          <w:tcPr>
            <w:tcW w:w="1527" w:type="dxa"/>
          </w:tcPr>
          <w:p w14:paraId="33DD9780" w14:textId="77777777" w:rsidR="00B466AE" w:rsidRPr="00EC2204" w:rsidRDefault="00B466AE" w:rsidP="00C57C5F">
            <w:pPr>
              <w:spacing w:after="240"/>
              <w:jc w:val="both"/>
              <w:cnfStyle w:val="100000000000" w:firstRow="1" w:lastRow="0" w:firstColumn="0" w:lastColumn="0" w:oddVBand="0" w:evenVBand="0" w:oddHBand="0" w:evenHBand="0" w:firstRowFirstColumn="0" w:firstRowLastColumn="0" w:lastRowFirstColumn="0" w:lastRowLastColumn="0"/>
            </w:pPr>
            <w:r w:rsidRPr="00EC2204">
              <w:t>Role</w:t>
            </w:r>
          </w:p>
        </w:tc>
        <w:tc>
          <w:tcPr>
            <w:tcW w:w="761" w:type="dxa"/>
          </w:tcPr>
          <w:p w14:paraId="5709D69A" w14:textId="77777777" w:rsidR="00B466AE" w:rsidRPr="00EC2204" w:rsidRDefault="00B466AE" w:rsidP="00C57C5F">
            <w:pPr>
              <w:spacing w:after="240"/>
              <w:jc w:val="both"/>
              <w:cnfStyle w:val="100000000000" w:firstRow="1" w:lastRow="0" w:firstColumn="0" w:lastColumn="0" w:oddVBand="0" w:evenVBand="0" w:oddHBand="0" w:evenHBand="0" w:firstRowFirstColumn="0" w:firstRowLastColumn="0" w:lastRowFirstColumn="0" w:lastRowLastColumn="0"/>
            </w:pPr>
            <w:r w:rsidRPr="00EC2204">
              <w:t>Race</w:t>
            </w:r>
          </w:p>
        </w:tc>
        <w:tc>
          <w:tcPr>
            <w:tcW w:w="761" w:type="dxa"/>
          </w:tcPr>
          <w:p w14:paraId="2F7AA844" w14:textId="77777777" w:rsidR="00B466AE" w:rsidRPr="00EC2204" w:rsidRDefault="00B466AE" w:rsidP="00C57C5F">
            <w:pPr>
              <w:spacing w:after="240"/>
              <w:jc w:val="both"/>
              <w:cnfStyle w:val="100000000000" w:firstRow="1" w:lastRow="0" w:firstColumn="0" w:lastColumn="0" w:oddVBand="0" w:evenVBand="0" w:oddHBand="0" w:evenHBand="0" w:firstRowFirstColumn="0" w:firstRowLastColumn="0" w:lastRowFirstColumn="0" w:lastRowLastColumn="0"/>
            </w:pPr>
            <w:r w:rsidRPr="00EC2204">
              <w:t>Color</w:t>
            </w:r>
          </w:p>
        </w:tc>
        <w:tc>
          <w:tcPr>
            <w:tcW w:w="999" w:type="dxa"/>
          </w:tcPr>
          <w:p w14:paraId="0F95F5C6" w14:textId="77777777" w:rsidR="00B466AE" w:rsidRPr="00EC2204" w:rsidRDefault="00B466AE" w:rsidP="00C57C5F">
            <w:pPr>
              <w:spacing w:after="240"/>
              <w:jc w:val="both"/>
              <w:cnfStyle w:val="100000000000" w:firstRow="1" w:lastRow="0" w:firstColumn="0" w:lastColumn="0" w:oddVBand="0" w:evenVBand="0" w:oddHBand="0" w:evenHBand="0" w:firstRowFirstColumn="0" w:firstRowLastColumn="0" w:lastRowFirstColumn="0" w:lastRowLastColumn="0"/>
            </w:pPr>
            <w:r w:rsidRPr="00EC2204">
              <w:t>National Origin</w:t>
            </w:r>
          </w:p>
        </w:tc>
      </w:tr>
      <w:tr w:rsidR="00B466AE" w14:paraId="0C6B512E" w14:textId="77777777" w:rsidTr="00C57C5F">
        <w:tc>
          <w:tcPr>
            <w:cnfStyle w:val="001000000000" w:firstRow="0" w:lastRow="0" w:firstColumn="1" w:lastColumn="0" w:oddVBand="0" w:evenVBand="0" w:oddHBand="0" w:evenHBand="0" w:firstRowFirstColumn="0" w:firstRowLastColumn="0" w:lastRowFirstColumn="0" w:lastRowLastColumn="0"/>
            <w:tcW w:w="1204" w:type="dxa"/>
            <w:vMerge w:val="restart"/>
          </w:tcPr>
          <w:p w14:paraId="016FE500" w14:textId="77777777" w:rsidR="00B466AE" w:rsidRPr="00EC2204" w:rsidRDefault="00B466AE" w:rsidP="00C57C5F">
            <w:pPr>
              <w:spacing w:after="240"/>
              <w:jc w:val="both"/>
              <w:rPr>
                <w:b w:val="0"/>
                <w:bCs w:val="0"/>
              </w:rPr>
            </w:pPr>
            <w:r w:rsidRPr="00EC2204">
              <w:rPr>
                <w:b w:val="0"/>
                <w:bCs w:val="0"/>
              </w:rPr>
              <w:t>Fair Housing Center of WA (online via NEOGOV)</w:t>
            </w:r>
          </w:p>
        </w:tc>
        <w:tc>
          <w:tcPr>
            <w:tcW w:w="1216" w:type="dxa"/>
            <w:vMerge w:val="restart"/>
          </w:tcPr>
          <w:p w14:paraId="3CB0E274" w14:textId="77777777" w:rsidR="00B466AE" w:rsidRDefault="00B466AE" w:rsidP="00C57C5F">
            <w:pPr>
              <w:spacing w:after="240"/>
              <w:jc w:val="both"/>
              <w:cnfStyle w:val="000000000000" w:firstRow="0" w:lastRow="0" w:firstColumn="0" w:lastColumn="0" w:oddVBand="0" w:evenVBand="0" w:oddHBand="0" w:evenHBand="0" w:firstRowFirstColumn="0" w:firstRowLastColumn="0" w:lastRowFirstColumn="0" w:lastRowLastColumn="0"/>
            </w:pPr>
            <w:r w:rsidRPr="006B1D23">
              <w:t>Embracing Diversity, Advocating Equality</w:t>
            </w:r>
          </w:p>
        </w:tc>
        <w:tc>
          <w:tcPr>
            <w:tcW w:w="1218" w:type="dxa"/>
          </w:tcPr>
          <w:p w14:paraId="68EC517C" w14:textId="442E4D6C" w:rsidR="00B466AE" w:rsidRDefault="004E6016" w:rsidP="00C57C5F">
            <w:pPr>
              <w:spacing w:after="240"/>
              <w:jc w:val="both"/>
              <w:cnfStyle w:val="000000000000" w:firstRow="0" w:lastRow="0" w:firstColumn="0" w:lastColumn="0" w:oddVBand="0" w:evenVBand="0" w:oddHBand="0" w:evenHBand="0" w:firstRowFirstColumn="0" w:firstRowLastColumn="0" w:lastRowFirstColumn="0" w:lastRowLastColumn="0"/>
            </w:pPr>
            <w:r>
              <w:t>9/20/2024</w:t>
            </w:r>
          </w:p>
        </w:tc>
        <w:tc>
          <w:tcPr>
            <w:tcW w:w="1304" w:type="dxa"/>
          </w:tcPr>
          <w:p w14:paraId="4CFEE314" w14:textId="1165AB9D" w:rsidR="00B466AE" w:rsidRDefault="004E6016" w:rsidP="00C57C5F">
            <w:pPr>
              <w:spacing w:after="240"/>
              <w:jc w:val="both"/>
              <w:cnfStyle w:val="000000000000" w:firstRow="0" w:lastRow="0" w:firstColumn="0" w:lastColumn="0" w:oddVBand="0" w:evenVBand="0" w:oddHBand="0" w:evenHBand="0" w:firstRowFirstColumn="0" w:firstRowLastColumn="0" w:lastRowFirstColumn="0" w:lastRowLastColumn="0"/>
            </w:pPr>
            <w:r>
              <w:t>Elijah Nico Faz</w:t>
            </w:r>
          </w:p>
        </w:tc>
        <w:tc>
          <w:tcPr>
            <w:tcW w:w="1527" w:type="dxa"/>
          </w:tcPr>
          <w:p w14:paraId="695A58B8" w14:textId="68FB23D6" w:rsidR="00B466AE" w:rsidRDefault="004E6016" w:rsidP="00C57C5F">
            <w:pPr>
              <w:spacing w:after="240"/>
              <w:jc w:val="both"/>
              <w:cnfStyle w:val="000000000000" w:firstRow="0" w:lastRow="0" w:firstColumn="0" w:lastColumn="0" w:oddVBand="0" w:evenVBand="0" w:oddHBand="0" w:evenHBand="0" w:firstRowFirstColumn="0" w:firstRowLastColumn="0" w:lastRowFirstColumn="0" w:lastRowLastColumn="0"/>
            </w:pPr>
            <w:r>
              <w:t>Assistant Planner</w:t>
            </w:r>
          </w:p>
        </w:tc>
        <w:tc>
          <w:tcPr>
            <w:tcW w:w="761" w:type="dxa"/>
          </w:tcPr>
          <w:p w14:paraId="4A0A7E9C" w14:textId="358F0EF4" w:rsidR="00B466AE" w:rsidRDefault="005909D9" w:rsidP="00C57C5F">
            <w:pPr>
              <w:spacing w:after="240"/>
              <w:jc w:val="both"/>
              <w:cnfStyle w:val="000000000000" w:firstRow="0" w:lastRow="0" w:firstColumn="0" w:lastColumn="0" w:oddVBand="0" w:evenVBand="0" w:oddHBand="0" w:evenHBand="0" w:firstRowFirstColumn="0" w:firstRowLastColumn="0" w:lastRowFirstColumn="0" w:lastRowLastColumn="0"/>
            </w:pPr>
            <w:r>
              <w:t>Hispanic</w:t>
            </w:r>
          </w:p>
        </w:tc>
        <w:tc>
          <w:tcPr>
            <w:tcW w:w="761" w:type="dxa"/>
          </w:tcPr>
          <w:p w14:paraId="0FA7F281" w14:textId="1EE53AFC" w:rsidR="00B466AE" w:rsidRDefault="005909D9"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999" w:type="dxa"/>
          </w:tcPr>
          <w:p w14:paraId="390EEB72" w14:textId="7864C22B" w:rsidR="00B466AE" w:rsidRDefault="005909D9" w:rsidP="00C57C5F">
            <w:pPr>
              <w:spacing w:after="240"/>
              <w:jc w:val="both"/>
              <w:cnfStyle w:val="000000000000" w:firstRow="0" w:lastRow="0" w:firstColumn="0" w:lastColumn="0" w:oddVBand="0" w:evenVBand="0" w:oddHBand="0" w:evenHBand="0" w:firstRowFirstColumn="0" w:firstRowLastColumn="0" w:lastRowFirstColumn="0" w:lastRowLastColumn="0"/>
            </w:pPr>
            <w:r>
              <w:t>United States</w:t>
            </w:r>
          </w:p>
        </w:tc>
      </w:tr>
      <w:tr w:rsidR="00B466AE" w14:paraId="028F47E6" w14:textId="77777777" w:rsidTr="00C57C5F">
        <w:tc>
          <w:tcPr>
            <w:cnfStyle w:val="001000000000" w:firstRow="0" w:lastRow="0" w:firstColumn="1" w:lastColumn="0" w:oddVBand="0" w:evenVBand="0" w:oddHBand="0" w:evenHBand="0" w:firstRowFirstColumn="0" w:firstRowLastColumn="0" w:lastRowFirstColumn="0" w:lastRowLastColumn="0"/>
            <w:tcW w:w="1204" w:type="dxa"/>
            <w:vMerge/>
          </w:tcPr>
          <w:p w14:paraId="0C16003F" w14:textId="77777777" w:rsidR="00B466AE" w:rsidRDefault="00B466AE" w:rsidP="00C57C5F">
            <w:pPr>
              <w:spacing w:after="240"/>
              <w:jc w:val="both"/>
            </w:pPr>
          </w:p>
        </w:tc>
        <w:tc>
          <w:tcPr>
            <w:tcW w:w="1216" w:type="dxa"/>
            <w:vMerge/>
          </w:tcPr>
          <w:p w14:paraId="43141CA5" w14:textId="77777777" w:rsidR="00B466AE" w:rsidRDefault="00B466AE" w:rsidP="00C57C5F">
            <w:pPr>
              <w:spacing w:after="240"/>
              <w:jc w:val="both"/>
              <w:cnfStyle w:val="000000000000" w:firstRow="0" w:lastRow="0" w:firstColumn="0" w:lastColumn="0" w:oddVBand="0" w:evenVBand="0" w:oddHBand="0" w:evenHBand="0" w:firstRowFirstColumn="0" w:firstRowLastColumn="0" w:lastRowFirstColumn="0" w:lastRowLastColumn="0"/>
            </w:pPr>
          </w:p>
        </w:tc>
        <w:tc>
          <w:tcPr>
            <w:tcW w:w="1218" w:type="dxa"/>
          </w:tcPr>
          <w:p w14:paraId="759BC2C6" w14:textId="75598789" w:rsidR="00B466AE" w:rsidRDefault="00BC2CFE" w:rsidP="00C57C5F">
            <w:pPr>
              <w:spacing w:after="240"/>
              <w:jc w:val="both"/>
              <w:cnfStyle w:val="000000000000" w:firstRow="0" w:lastRow="0" w:firstColumn="0" w:lastColumn="0" w:oddVBand="0" w:evenVBand="0" w:oddHBand="0" w:evenHBand="0" w:firstRowFirstColumn="0" w:firstRowLastColumn="0" w:lastRowFirstColumn="0" w:lastRowLastColumn="0"/>
            </w:pPr>
            <w:r>
              <w:t>9/20/2024</w:t>
            </w:r>
          </w:p>
        </w:tc>
        <w:tc>
          <w:tcPr>
            <w:tcW w:w="1304" w:type="dxa"/>
          </w:tcPr>
          <w:p w14:paraId="738C2827" w14:textId="5630CD46" w:rsidR="00B466AE" w:rsidRDefault="00BC2CFE" w:rsidP="00C57C5F">
            <w:pPr>
              <w:spacing w:after="240"/>
              <w:jc w:val="both"/>
              <w:cnfStyle w:val="000000000000" w:firstRow="0" w:lastRow="0" w:firstColumn="0" w:lastColumn="0" w:oddVBand="0" w:evenVBand="0" w:oddHBand="0" w:evenHBand="0" w:firstRowFirstColumn="0" w:firstRowLastColumn="0" w:lastRowFirstColumn="0" w:lastRowLastColumn="0"/>
            </w:pPr>
            <w:r>
              <w:t>Christi Schmidt</w:t>
            </w:r>
          </w:p>
        </w:tc>
        <w:tc>
          <w:tcPr>
            <w:tcW w:w="1527" w:type="dxa"/>
          </w:tcPr>
          <w:p w14:paraId="62ED54AE" w14:textId="50CBA676" w:rsidR="00B466AE" w:rsidRDefault="00BC2CFE" w:rsidP="00C57C5F">
            <w:pPr>
              <w:spacing w:after="240"/>
              <w:jc w:val="both"/>
              <w:cnfStyle w:val="000000000000" w:firstRow="0" w:lastRow="0" w:firstColumn="0" w:lastColumn="0" w:oddVBand="0" w:evenVBand="0" w:oddHBand="0" w:evenHBand="0" w:firstRowFirstColumn="0" w:firstRowLastColumn="0" w:lastRowFirstColumn="0" w:lastRowLastColumn="0"/>
            </w:pPr>
            <w:r>
              <w:t>Planning Manager</w:t>
            </w:r>
          </w:p>
        </w:tc>
        <w:tc>
          <w:tcPr>
            <w:tcW w:w="761" w:type="dxa"/>
          </w:tcPr>
          <w:p w14:paraId="45D6826F" w14:textId="3BA78C5E" w:rsidR="00B466AE" w:rsidRDefault="00BC2CFE"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761" w:type="dxa"/>
          </w:tcPr>
          <w:p w14:paraId="5156B364" w14:textId="45AE8299" w:rsidR="00B466AE" w:rsidRDefault="00BC2CFE"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999" w:type="dxa"/>
          </w:tcPr>
          <w:p w14:paraId="062CDFB8" w14:textId="4BA85355" w:rsidR="00B466AE" w:rsidRDefault="00BC2CFE" w:rsidP="00C57C5F">
            <w:pPr>
              <w:spacing w:after="240"/>
              <w:jc w:val="both"/>
              <w:cnfStyle w:val="000000000000" w:firstRow="0" w:lastRow="0" w:firstColumn="0" w:lastColumn="0" w:oddVBand="0" w:evenVBand="0" w:oddHBand="0" w:evenHBand="0" w:firstRowFirstColumn="0" w:firstRowLastColumn="0" w:lastRowFirstColumn="0" w:lastRowLastColumn="0"/>
            </w:pPr>
            <w:r>
              <w:t>United States</w:t>
            </w:r>
          </w:p>
        </w:tc>
      </w:tr>
      <w:tr w:rsidR="00B466AE" w14:paraId="467C7DFE" w14:textId="77777777" w:rsidTr="00C57C5F">
        <w:tc>
          <w:tcPr>
            <w:cnfStyle w:val="001000000000" w:firstRow="0" w:lastRow="0" w:firstColumn="1" w:lastColumn="0" w:oddVBand="0" w:evenVBand="0" w:oddHBand="0" w:evenHBand="0" w:firstRowFirstColumn="0" w:firstRowLastColumn="0" w:lastRowFirstColumn="0" w:lastRowLastColumn="0"/>
            <w:tcW w:w="1204" w:type="dxa"/>
            <w:vMerge/>
          </w:tcPr>
          <w:p w14:paraId="4DC602EB" w14:textId="77777777" w:rsidR="00B466AE" w:rsidRDefault="00B466AE" w:rsidP="00C57C5F">
            <w:pPr>
              <w:spacing w:after="240"/>
              <w:jc w:val="both"/>
            </w:pPr>
          </w:p>
        </w:tc>
        <w:tc>
          <w:tcPr>
            <w:tcW w:w="1216" w:type="dxa"/>
            <w:vMerge/>
          </w:tcPr>
          <w:p w14:paraId="406ACC56" w14:textId="77777777" w:rsidR="00B466AE" w:rsidRDefault="00B466AE" w:rsidP="00C57C5F">
            <w:pPr>
              <w:spacing w:after="240"/>
              <w:jc w:val="both"/>
              <w:cnfStyle w:val="000000000000" w:firstRow="0" w:lastRow="0" w:firstColumn="0" w:lastColumn="0" w:oddVBand="0" w:evenVBand="0" w:oddHBand="0" w:evenHBand="0" w:firstRowFirstColumn="0" w:firstRowLastColumn="0" w:lastRowFirstColumn="0" w:lastRowLastColumn="0"/>
            </w:pPr>
          </w:p>
        </w:tc>
        <w:tc>
          <w:tcPr>
            <w:tcW w:w="1218" w:type="dxa"/>
          </w:tcPr>
          <w:p w14:paraId="5C2DDD5A" w14:textId="2D19154C"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9/20/2024</w:t>
            </w:r>
          </w:p>
        </w:tc>
        <w:tc>
          <w:tcPr>
            <w:tcW w:w="1304" w:type="dxa"/>
          </w:tcPr>
          <w:p w14:paraId="6691A4ED" w14:textId="2953E383"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Tyler Farmer</w:t>
            </w:r>
          </w:p>
        </w:tc>
        <w:tc>
          <w:tcPr>
            <w:tcW w:w="1527" w:type="dxa"/>
          </w:tcPr>
          <w:p w14:paraId="7C711320" w14:textId="474C47A4"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Plans Examiner</w:t>
            </w:r>
          </w:p>
        </w:tc>
        <w:tc>
          <w:tcPr>
            <w:tcW w:w="761" w:type="dxa"/>
          </w:tcPr>
          <w:p w14:paraId="18F7BC92" w14:textId="60162243"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761" w:type="dxa"/>
          </w:tcPr>
          <w:p w14:paraId="7309EFF2" w14:textId="2829572D"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999" w:type="dxa"/>
          </w:tcPr>
          <w:p w14:paraId="5F471EFB" w14:textId="00B52E3C"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United States</w:t>
            </w:r>
          </w:p>
        </w:tc>
      </w:tr>
      <w:tr w:rsidR="00B466AE" w14:paraId="323D9928" w14:textId="77777777" w:rsidTr="00C57C5F">
        <w:tc>
          <w:tcPr>
            <w:cnfStyle w:val="001000000000" w:firstRow="0" w:lastRow="0" w:firstColumn="1" w:lastColumn="0" w:oddVBand="0" w:evenVBand="0" w:oddHBand="0" w:evenHBand="0" w:firstRowFirstColumn="0" w:firstRowLastColumn="0" w:lastRowFirstColumn="0" w:lastRowLastColumn="0"/>
            <w:tcW w:w="1204" w:type="dxa"/>
            <w:vMerge/>
          </w:tcPr>
          <w:p w14:paraId="30FA47F3" w14:textId="77777777" w:rsidR="00B466AE" w:rsidRDefault="00B466AE" w:rsidP="00C57C5F">
            <w:pPr>
              <w:spacing w:after="240"/>
              <w:jc w:val="both"/>
            </w:pPr>
          </w:p>
        </w:tc>
        <w:tc>
          <w:tcPr>
            <w:tcW w:w="1216" w:type="dxa"/>
            <w:vMerge/>
          </w:tcPr>
          <w:p w14:paraId="0CA7047B" w14:textId="77777777" w:rsidR="00B466AE" w:rsidRDefault="00B466AE" w:rsidP="00C57C5F">
            <w:pPr>
              <w:spacing w:after="240"/>
              <w:jc w:val="both"/>
              <w:cnfStyle w:val="000000000000" w:firstRow="0" w:lastRow="0" w:firstColumn="0" w:lastColumn="0" w:oddVBand="0" w:evenVBand="0" w:oddHBand="0" w:evenHBand="0" w:firstRowFirstColumn="0" w:firstRowLastColumn="0" w:lastRowFirstColumn="0" w:lastRowLastColumn="0"/>
            </w:pPr>
          </w:p>
        </w:tc>
        <w:tc>
          <w:tcPr>
            <w:tcW w:w="1218" w:type="dxa"/>
          </w:tcPr>
          <w:p w14:paraId="7E6395EE" w14:textId="0E9B5F23"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9/20/2024</w:t>
            </w:r>
          </w:p>
        </w:tc>
        <w:tc>
          <w:tcPr>
            <w:tcW w:w="1304" w:type="dxa"/>
          </w:tcPr>
          <w:p w14:paraId="4D7BD4F4" w14:textId="3BC80065"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Ben Romanaggi</w:t>
            </w:r>
          </w:p>
        </w:tc>
        <w:tc>
          <w:tcPr>
            <w:tcW w:w="1527" w:type="dxa"/>
          </w:tcPr>
          <w:p w14:paraId="22A57A78" w14:textId="6A9760CD"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Senior Civil Engineer</w:t>
            </w:r>
          </w:p>
        </w:tc>
        <w:tc>
          <w:tcPr>
            <w:tcW w:w="761" w:type="dxa"/>
          </w:tcPr>
          <w:p w14:paraId="415821AA" w14:textId="48CC9729"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761" w:type="dxa"/>
          </w:tcPr>
          <w:p w14:paraId="6D1048F4" w14:textId="238764D1"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999" w:type="dxa"/>
          </w:tcPr>
          <w:p w14:paraId="24CB9C72" w14:textId="0593F020"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United States</w:t>
            </w:r>
          </w:p>
        </w:tc>
      </w:tr>
      <w:tr w:rsidR="00B466AE" w14:paraId="40948C24" w14:textId="77777777" w:rsidTr="00C57C5F">
        <w:tc>
          <w:tcPr>
            <w:cnfStyle w:val="001000000000" w:firstRow="0" w:lastRow="0" w:firstColumn="1" w:lastColumn="0" w:oddVBand="0" w:evenVBand="0" w:oddHBand="0" w:evenHBand="0" w:firstRowFirstColumn="0" w:firstRowLastColumn="0" w:lastRowFirstColumn="0" w:lastRowLastColumn="0"/>
            <w:tcW w:w="1204" w:type="dxa"/>
            <w:vMerge/>
          </w:tcPr>
          <w:p w14:paraId="002961E9" w14:textId="77777777" w:rsidR="00B466AE" w:rsidRDefault="00B466AE" w:rsidP="00C57C5F">
            <w:pPr>
              <w:spacing w:after="240"/>
              <w:jc w:val="both"/>
            </w:pPr>
          </w:p>
        </w:tc>
        <w:tc>
          <w:tcPr>
            <w:tcW w:w="1216" w:type="dxa"/>
            <w:vMerge/>
          </w:tcPr>
          <w:p w14:paraId="4E9DDAF8" w14:textId="77777777" w:rsidR="00B466AE" w:rsidRDefault="00B466AE" w:rsidP="00C57C5F">
            <w:pPr>
              <w:spacing w:after="240"/>
              <w:jc w:val="both"/>
              <w:cnfStyle w:val="000000000000" w:firstRow="0" w:lastRow="0" w:firstColumn="0" w:lastColumn="0" w:oddVBand="0" w:evenVBand="0" w:oddHBand="0" w:evenHBand="0" w:firstRowFirstColumn="0" w:firstRowLastColumn="0" w:lastRowFirstColumn="0" w:lastRowLastColumn="0"/>
            </w:pPr>
          </w:p>
        </w:tc>
        <w:tc>
          <w:tcPr>
            <w:tcW w:w="1218" w:type="dxa"/>
          </w:tcPr>
          <w:p w14:paraId="18E64632" w14:textId="1150EEC0"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9/24/2024</w:t>
            </w:r>
          </w:p>
        </w:tc>
        <w:tc>
          <w:tcPr>
            <w:tcW w:w="1304" w:type="dxa"/>
          </w:tcPr>
          <w:p w14:paraId="551FB5D1" w14:textId="1F89E939"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Aaron Halverson</w:t>
            </w:r>
          </w:p>
        </w:tc>
        <w:tc>
          <w:tcPr>
            <w:tcW w:w="1527" w:type="dxa"/>
          </w:tcPr>
          <w:p w14:paraId="3C8F01F8" w14:textId="64A3A8D5"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Public Works Director</w:t>
            </w:r>
          </w:p>
        </w:tc>
        <w:tc>
          <w:tcPr>
            <w:tcW w:w="761" w:type="dxa"/>
          </w:tcPr>
          <w:p w14:paraId="554B6846" w14:textId="2C487E7C"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761" w:type="dxa"/>
          </w:tcPr>
          <w:p w14:paraId="48EC35D2" w14:textId="6ABCBB59"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999" w:type="dxa"/>
          </w:tcPr>
          <w:p w14:paraId="28D9A4D0" w14:textId="0835061C" w:rsidR="00B466AE" w:rsidRDefault="00170609" w:rsidP="00C57C5F">
            <w:pPr>
              <w:spacing w:after="240"/>
              <w:jc w:val="both"/>
              <w:cnfStyle w:val="000000000000" w:firstRow="0" w:lastRow="0" w:firstColumn="0" w:lastColumn="0" w:oddVBand="0" w:evenVBand="0" w:oddHBand="0" w:evenHBand="0" w:firstRowFirstColumn="0" w:firstRowLastColumn="0" w:lastRowFirstColumn="0" w:lastRowLastColumn="0"/>
            </w:pPr>
            <w:r>
              <w:t>United States</w:t>
            </w:r>
          </w:p>
        </w:tc>
      </w:tr>
      <w:tr w:rsidR="00B466AE" w14:paraId="02DD46BB" w14:textId="77777777" w:rsidTr="00C57C5F">
        <w:tc>
          <w:tcPr>
            <w:cnfStyle w:val="001000000000" w:firstRow="0" w:lastRow="0" w:firstColumn="1" w:lastColumn="0" w:oddVBand="0" w:evenVBand="0" w:oddHBand="0" w:evenHBand="0" w:firstRowFirstColumn="0" w:firstRowLastColumn="0" w:lastRowFirstColumn="0" w:lastRowLastColumn="0"/>
            <w:tcW w:w="1204" w:type="dxa"/>
            <w:vMerge/>
          </w:tcPr>
          <w:p w14:paraId="1DD10CFC" w14:textId="77777777" w:rsidR="00B466AE" w:rsidRDefault="00B466AE" w:rsidP="00C57C5F">
            <w:pPr>
              <w:spacing w:after="240"/>
              <w:jc w:val="both"/>
            </w:pPr>
          </w:p>
        </w:tc>
        <w:tc>
          <w:tcPr>
            <w:tcW w:w="1216" w:type="dxa"/>
            <w:vMerge/>
          </w:tcPr>
          <w:p w14:paraId="77EBD318" w14:textId="77777777" w:rsidR="00B466AE" w:rsidRDefault="00B466AE" w:rsidP="00C57C5F">
            <w:pPr>
              <w:spacing w:after="240"/>
              <w:jc w:val="both"/>
              <w:cnfStyle w:val="000000000000" w:firstRow="0" w:lastRow="0" w:firstColumn="0" w:lastColumn="0" w:oddVBand="0" w:evenVBand="0" w:oddHBand="0" w:evenHBand="0" w:firstRowFirstColumn="0" w:firstRowLastColumn="0" w:lastRowFirstColumn="0" w:lastRowLastColumn="0"/>
            </w:pPr>
          </w:p>
        </w:tc>
        <w:tc>
          <w:tcPr>
            <w:tcW w:w="1218" w:type="dxa"/>
          </w:tcPr>
          <w:p w14:paraId="2D0E3EB9" w14:textId="4A0310FF" w:rsidR="00B466AE" w:rsidRDefault="00567A7C" w:rsidP="00C57C5F">
            <w:pPr>
              <w:spacing w:after="240"/>
              <w:jc w:val="both"/>
              <w:cnfStyle w:val="000000000000" w:firstRow="0" w:lastRow="0" w:firstColumn="0" w:lastColumn="0" w:oddVBand="0" w:evenVBand="0" w:oddHBand="0" w:evenHBand="0" w:firstRowFirstColumn="0" w:firstRowLastColumn="0" w:lastRowFirstColumn="0" w:lastRowLastColumn="0"/>
            </w:pPr>
            <w:r>
              <w:t>9/24/2024</w:t>
            </w:r>
          </w:p>
        </w:tc>
        <w:tc>
          <w:tcPr>
            <w:tcW w:w="1304" w:type="dxa"/>
          </w:tcPr>
          <w:p w14:paraId="1689148E" w14:textId="76FC4AA5" w:rsidR="00B466AE" w:rsidRDefault="00567A7C" w:rsidP="00C57C5F">
            <w:pPr>
              <w:spacing w:after="240"/>
              <w:jc w:val="both"/>
              <w:cnfStyle w:val="000000000000" w:firstRow="0" w:lastRow="0" w:firstColumn="0" w:lastColumn="0" w:oddVBand="0" w:evenVBand="0" w:oddHBand="0" w:evenHBand="0" w:firstRowFirstColumn="0" w:firstRowLastColumn="0" w:lastRowFirstColumn="0" w:lastRowLastColumn="0"/>
            </w:pPr>
            <w:r>
              <w:t>Natasha Houghtaling</w:t>
            </w:r>
          </w:p>
        </w:tc>
        <w:tc>
          <w:tcPr>
            <w:tcW w:w="1527" w:type="dxa"/>
          </w:tcPr>
          <w:p w14:paraId="23E63ACB" w14:textId="4678C277" w:rsidR="00B466AE" w:rsidRDefault="00567A7C" w:rsidP="00C57C5F">
            <w:pPr>
              <w:spacing w:after="240"/>
              <w:jc w:val="both"/>
              <w:cnfStyle w:val="000000000000" w:firstRow="0" w:lastRow="0" w:firstColumn="0" w:lastColumn="0" w:oddVBand="0" w:evenVBand="0" w:oddHBand="0" w:evenHBand="0" w:firstRowFirstColumn="0" w:firstRowLastColumn="0" w:lastRowFirstColumn="0" w:lastRowLastColumn="0"/>
            </w:pPr>
            <w:r>
              <w:t>Public Works Administrative Assistant</w:t>
            </w:r>
          </w:p>
        </w:tc>
        <w:tc>
          <w:tcPr>
            <w:tcW w:w="761" w:type="dxa"/>
          </w:tcPr>
          <w:p w14:paraId="526A41DB" w14:textId="7CF1A236" w:rsidR="00B466AE" w:rsidRDefault="00567A7C" w:rsidP="00C57C5F">
            <w:pPr>
              <w:spacing w:after="240"/>
              <w:jc w:val="both"/>
              <w:cnfStyle w:val="000000000000" w:firstRow="0" w:lastRow="0" w:firstColumn="0" w:lastColumn="0" w:oddVBand="0" w:evenVBand="0" w:oddHBand="0" w:evenHBand="0" w:firstRowFirstColumn="0" w:firstRowLastColumn="0" w:lastRowFirstColumn="0" w:lastRowLastColumn="0"/>
            </w:pPr>
            <w:r>
              <w:t>Asian and White</w:t>
            </w:r>
          </w:p>
        </w:tc>
        <w:tc>
          <w:tcPr>
            <w:tcW w:w="761" w:type="dxa"/>
          </w:tcPr>
          <w:p w14:paraId="516D4CAB" w14:textId="10817608" w:rsidR="00B466AE" w:rsidRDefault="00567A7C"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999" w:type="dxa"/>
          </w:tcPr>
          <w:p w14:paraId="69231B5A" w14:textId="5FB437D3" w:rsidR="00B466AE" w:rsidRDefault="00567A7C" w:rsidP="00C57C5F">
            <w:pPr>
              <w:spacing w:after="240"/>
              <w:jc w:val="both"/>
              <w:cnfStyle w:val="000000000000" w:firstRow="0" w:lastRow="0" w:firstColumn="0" w:lastColumn="0" w:oddVBand="0" w:evenVBand="0" w:oddHBand="0" w:evenHBand="0" w:firstRowFirstColumn="0" w:firstRowLastColumn="0" w:lastRowFirstColumn="0" w:lastRowLastColumn="0"/>
            </w:pPr>
            <w:r>
              <w:t>United States</w:t>
            </w:r>
          </w:p>
        </w:tc>
      </w:tr>
      <w:tr w:rsidR="00B466AE" w14:paraId="495806C0" w14:textId="77777777" w:rsidTr="00C57C5F">
        <w:tc>
          <w:tcPr>
            <w:cnfStyle w:val="001000000000" w:firstRow="0" w:lastRow="0" w:firstColumn="1" w:lastColumn="0" w:oddVBand="0" w:evenVBand="0" w:oddHBand="0" w:evenHBand="0" w:firstRowFirstColumn="0" w:firstRowLastColumn="0" w:lastRowFirstColumn="0" w:lastRowLastColumn="0"/>
            <w:tcW w:w="1204" w:type="dxa"/>
            <w:vMerge/>
          </w:tcPr>
          <w:p w14:paraId="7DEF3126" w14:textId="77777777" w:rsidR="00B466AE" w:rsidRDefault="00B466AE" w:rsidP="00C57C5F">
            <w:pPr>
              <w:spacing w:after="240"/>
              <w:jc w:val="both"/>
            </w:pPr>
          </w:p>
        </w:tc>
        <w:tc>
          <w:tcPr>
            <w:tcW w:w="1216" w:type="dxa"/>
            <w:vMerge/>
          </w:tcPr>
          <w:p w14:paraId="5C3D6801" w14:textId="77777777" w:rsidR="00B466AE" w:rsidRDefault="00B466AE" w:rsidP="00C57C5F">
            <w:pPr>
              <w:spacing w:after="240"/>
              <w:jc w:val="both"/>
              <w:cnfStyle w:val="000000000000" w:firstRow="0" w:lastRow="0" w:firstColumn="0" w:lastColumn="0" w:oddVBand="0" w:evenVBand="0" w:oddHBand="0" w:evenHBand="0" w:firstRowFirstColumn="0" w:firstRowLastColumn="0" w:lastRowFirstColumn="0" w:lastRowLastColumn="0"/>
            </w:pPr>
          </w:p>
        </w:tc>
        <w:tc>
          <w:tcPr>
            <w:tcW w:w="1218" w:type="dxa"/>
          </w:tcPr>
          <w:p w14:paraId="3ACBE02E" w14:textId="6BFF7EC2" w:rsidR="00B466AE" w:rsidRDefault="00097AA1" w:rsidP="00C57C5F">
            <w:pPr>
              <w:spacing w:after="240"/>
              <w:jc w:val="both"/>
              <w:cnfStyle w:val="000000000000" w:firstRow="0" w:lastRow="0" w:firstColumn="0" w:lastColumn="0" w:oddVBand="0" w:evenVBand="0" w:oddHBand="0" w:evenHBand="0" w:firstRowFirstColumn="0" w:firstRowLastColumn="0" w:lastRowFirstColumn="0" w:lastRowLastColumn="0"/>
            </w:pPr>
            <w:r>
              <w:t>9/24/2024</w:t>
            </w:r>
          </w:p>
        </w:tc>
        <w:tc>
          <w:tcPr>
            <w:tcW w:w="1304" w:type="dxa"/>
          </w:tcPr>
          <w:p w14:paraId="3A641B2E" w14:textId="70E3D38B" w:rsidR="00B466AE" w:rsidRDefault="00097AA1" w:rsidP="00C57C5F">
            <w:pPr>
              <w:spacing w:after="240"/>
              <w:jc w:val="both"/>
              <w:cnfStyle w:val="000000000000" w:firstRow="0" w:lastRow="0" w:firstColumn="0" w:lastColumn="0" w:oddVBand="0" w:evenVBand="0" w:oddHBand="0" w:evenHBand="0" w:firstRowFirstColumn="0" w:firstRowLastColumn="0" w:lastRowFirstColumn="0" w:lastRowLastColumn="0"/>
            </w:pPr>
            <w:r>
              <w:t>Whitney Ojalehto</w:t>
            </w:r>
          </w:p>
        </w:tc>
        <w:tc>
          <w:tcPr>
            <w:tcW w:w="1527" w:type="dxa"/>
          </w:tcPr>
          <w:p w14:paraId="2D737EB7" w14:textId="1A32F912" w:rsidR="00B466AE" w:rsidRDefault="00097AA1" w:rsidP="00C57C5F">
            <w:pPr>
              <w:spacing w:after="240"/>
              <w:jc w:val="both"/>
              <w:cnfStyle w:val="000000000000" w:firstRow="0" w:lastRow="0" w:firstColumn="0" w:lastColumn="0" w:oddVBand="0" w:evenVBand="0" w:oddHBand="0" w:evenHBand="0" w:firstRowFirstColumn="0" w:firstRowLastColumn="0" w:lastRowFirstColumn="0" w:lastRowLastColumn="0"/>
            </w:pPr>
            <w:r>
              <w:t>Civil Engineer</w:t>
            </w:r>
          </w:p>
        </w:tc>
        <w:tc>
          <w:tcPr>
            <w:tcW w:w="761" w:type="dxa"/>
          </w:tcPr>
          <w:p w14:paraId="42D10580" w14:textId="0D32D1E3" w:rsidR="00B466AE" w:rsidRDefault="00097AA1"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761" w:type="dxa"/>
          </w:tcPr>
          <w:p w14:paraId="67CCE33A" w14:textId="26C1B69B" w:rsidR="00B466AE" w:rsidRDefault="00097AA1"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999" w:type="dxa"/>
          </w:tcPr>
          <w:p w14:paraId="3A361F35" w14:textId="1DD2ACC3" w:rsidR="00B466AE" w:rsidRDefault="00097AA1" w:rsidP="00C57C5F">
            <w:pPr>
              <w:spacing w:after="240"/>
              <w:jc w:val="both"/>
              <w:cnfStyle w:val="000000000000" w:firstRow="0" w:lastRow="0" w:firstColumn="0" w:lastColumn="0" w:oddVBand="0" w:evenVBand="0" w:oddHBand="0" w:evenHBand="0" w:firstRowFirstColumn="0" w:firstRowLastColumn="0" w:lastRowFirstColumn="0" w:lastRowLastColumn="0"/>
            </w:pPr>
            <w:r>
              <w:t>United States</w:t>
            </w:r>
          </w:p>
        </w:tc>
      </w:tr>
      <w:tr w:rsidR="00B466AE" w14:paraId="115F2FCF" w14:textId="77777777" w:rsidTr="00C57C5F">
        <w:tc>
          <w:tcPr>
            <w:cnfStyle w:val="001000000000" w:firstRow="0" w:lastRow="0" w:firstColumn="1" w:lastColumn="0" w:oddVBand="0" w:evenVBand="0" w:oddHBand="0" w:evenHBand="0" w:firstRowFirstColumn="0" w:firstRowLastColumn="0" w:lastRowFirstColumn="0" w:lastRowLastColumn="0"/>
            <w:tcW w:w="1204" w:type="dxa"/>
            <w:vMerge/>
          </w:tcPr>
          <w:p w14:paraId="5107CD10" w14:textId="77777777" w:rsidR="00B466AE" w:rsidRDefault="00B466AE" w:rsidP="00C57C5F">
            <w:pPr>
              <w:spacing w:after="240"/>
              <w:jc w:val="both"/>
            </w:pPr>
          </w:p>
        </w:tc>
        <w:tc>
          <w:tcPr>
            <w:tcW w:w="1216" w:type="dxa"/>
            <w:vMerge/>
          </w:tcPr>
          <w:p w14:paraId="3352CC6F" w14:textId="77777777" w:rsidR="00B466AE" w:rsidRDefault="00B466AE" w:rsidP="00C57C5F">
            <w:pPr>
              <w:spacing w:after="240"/>
              <w:jc w:val="both"/>
              <w:cnfStyle w:val="000000000000" w:firstRow="0" w:lastRow="0" w:firstColumn="0" w:lastColumn="0" w:oddVBand="0" w:evenVBand="0" w:oddHBand="0" w:evenHBand="0" w:firstRowFirstColumn="0" w:firstRowLastColumn="0" w:lastRowFirstColumn="0" w:lastRowLastColumn="0"/>
            </w:pPr>
          </w:p>
        </w:tc>
        <w:tc>
          <w:tcPr>
            <w:tcW w:w="1218" w:type="dxa"/>
          </w:tcPr>
          <w:p w14:paraId="0A798E34" w14:textId="71DE817C" w:rsidR="00B466AE" w:rsidRDefault="00722842" w:rsidP="00C57C5F">
            <w:pPr>
              <w:spacing w:after="240"/>
              <w:jc w:val="both"/>
              <w:cnfStyle w:val="000000000000" w:firstRow="0" w:lastRow="0" w:firstColumn="0" w:lastColumn="0" w:oddVBand="0" w:evenVBand="0" w:oddHBand="0" w:evenHBand="0" w:firstRowFirstColumn="0" w:firstRowLastColumn="0" w:lastRowFirstColumn="0" w:lastRowLastColumn="0"/>
            </w:pPr>
            <w:r>
              <w:t>9/24/2024</w:t>
            </w:r>
          </w:p>
        </w:tc>
        <w:tc>
          <w:tcPr>
            <w:tcW w:w="1304" w:type="dxa"/>
          </w:tcPr>
          <w:p w14:paraId="74510621" w14:textId="5D08A227" w:rsidR="00B466AE" w:rsidRDefault="00722842" w:rsidP="00C57C5F">
            <w:pPr>
              <w:spacing w:after="240"/>
              <w:jc w:val="both"/>
              <w:cnfStyle w:val="000000000000" w:firstRow="0" w:lastRow="0" w:firstColumn="0" w:lastColumn="0" w:oddVBand="0" w:evenVBand="0" w:oddHBand="0" w:evenHBand="0" w:firstRowFirstColumn="0" w:firstRowLastColumn="0" w:lastRowFirstColumn="0" w:lastRowLastColumn="0"/>
            </w:pPr>
            <w:r>
              <w:t>Kimberly Klinkers</w:t>
            </w:r>
          </w:p>
        </w:tc>
        <w:tc>
          <w:tcPr>
            <w:tcW w:w="1527" w:type="dxa"/>
          </w:tcPr>
          <w:p w14:paraId="63650464" w14:textId="2CFC662B" w:rsidR="00B466AE" w:rsidRDefault="00722842" w:rsidP="00C57C5F">
            <w:pPr>
              <w:spacing w:after="240"/>
              <w:jc w:val="both"/>
              <w:cnfStyle w:val="000000000000" w:firstRow="0" w:lastRow="0" w:firstColumn="0" w:lastColumn="0" w:oddVBand="0" w:evenVBand="0" w:oddHBand="0" w:evenHBand="0" w:firstRowFirstColumn="0" w:firstRowLastColumn="0" w:lastRowFirstColumn="0" w:lastRowLastColumn="0"/>
            </w:pPr>
            <w:r>
              <w:t>City Engineer</w:t>
            </w:r>
          </w:p>
        </w:tc>
        <w:tc>
          <w:tcPr>
            <w:tcW w:w="761" w:type="dxa"/>
          </w:tcPr>
          <w:p w14:paraId="35665974" w14:textId="4A577353" w:rsidR="00B466AE" w:rsidRDefault="00722842"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761" w:type="dxa"/>
          </w:tcPr>
          <w:p w14:paraId="32828AE9" w14:textId="61612782" w:rsidR="00B466AE" w:rsidRDefault="00722842"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999" w:type="dxa"/>
          </w:tcPr>
          <w:p w14:paraId="5517E954" w14:textId="6A957DA0" w:rsidR="00B466AE" w:rsidRDefault="00722842" w:rsidP="00C57C5F">
            <w:pPr>
              <w:spacing w:after="240"/>
              <w:jc w:val="both"/>
              <w:cnfStyle w:val="000000000000" w:firstRow="0" w:lastRow="0" w:firstColumn="0" w:lastColumn="0" w:oddVBand="0" w:evenVBand="0" w:oddHBand="0" w:evenHBand="0" w:firstRowFirstColumn="0" w:firstRowLastColumn="0" w:lastRowFirstColumn="0" w:lastRowLastColumn="0"/>
            </w:pPr>
            <w:r>
              <w:t>United States</w:t>
            </w:r>
          </w:p>
        </w:tc>
      </w:tr>
      <w:tr w:rsidR="00B466AE" w14:paraId="0ADE00D7" w14:textId="77777777" w:rsidTr="00C57C5F">
        <w:tc>
          <w:tcPr>
            <w:cnfStyle w:val="001000000000" w:firstRow="0" w:lastRow="0" w:firstColumn="1" w:lastColumn="0" w:oddVBand="0" w:evenVBand="0" w:oddHBand="0" w:evenHBand="0" w:firstRowFirstColumn="0" w:firstRowLastColumn="0" w:lastRowFirstColumn="0" w:lastRowLastColumn="0"/>
            <w:tcW w:w="1204" w:type="dxa"/>
            <w:vMerge/>
          </w:tcPr>
          <w:p w14:paraId="0BB9C815" w14:textId="77777777" w:rsidR="00B466AE" w:rsidRDefault="00B466AE" w:rsidP="00C57C5F">
            <w:pPr>
              <w:spacing w:after="240"/>
              <w:jc w:val="both"/>
            </w:pPr>
          </w:p>
        </w:tc>
        <w:tc>
          <w:tcPr>
            <w:tcW w:w="1216" w:type="dxa"/>
            <w:vMerge/>
          </w:tcPr>
          <w:p w14:paraId="713D83B9" w14:textId="77777777" w:rsidR="00B466AE" w:rsidRDefault="00B466AE" w:rsidP="00C57C5F">
            <w:pPr>
              <w:spacing w:after="240"/>
              <w:jc w:val="both"/>
              <w:cnfStyle w:val="000000000000" w:firstRow="0" w:lastRow="0" w:firstColumn="0" w:lastColumn="0" w:oddVBand="0" w:evenVBand="0" w:oddHBand="0" w:evenHBand="0" w:firstRowFirstColumn="0" w:firstRowLastColumn="0" w:lastRowFirstColumn="0" w:lastRowLastColumn="0"/>
            </w:pPr>
          </w:p>
        </w:tc>
        <w:tc>
          <w:tcPr>
            <w:tcW w:w="1218" w:type="dxa"/>
          </w:tcPr>
          <w:p w14:paraId="5FF355F4" w14:textId="6C0C4E8A" w:rsidR="00B466AE" w:rsidRDefault="00722842" w:rsidP="00C57C5F">
            <w:pPr>
              <w:spacing w:after="240"/>
              <w:jc w:val="both"/>
              <w:cnfStyle w:val="000000000000" w:firstRow="0" w:lastRow="0" w:firstColumn="0" w:lastColumn="0" w:oddVBand="0" w:evenVBand="0" w:oddHBand="0" w:evenHBand="0" w:firstRowFirstColumn="0" w:firstRowLastColumn="0" w:lastRowFirstColumn="0" w:lastRowLastColumn="0"/>
            </w:pPr>
            <w:r>
              <w:t>9/24/2024</w:t>
            </w:r>
          </w:p>
        </w:tc>
        <w:tc>
          <w:tcPr>
            <w:tcW w:w="1304" w:type="dxa"/>
          </w:tcPr>
          <w:p w14:paraId="15355453" w14:textId="7C2B018F" w:rsidR="00B466AE" w:rsidRDefault="00722842" w:rsidP="00C57C5F">
            <w:pPr>
              <w:spacing w:after="240"/>
              <w:jc w:val="both"/>
              <w:cnfStyle w:val="000000000000" w:firstRow="0" w:lastRow="0" w:firstColumn="0" w:lastColumn="0" w:oddVBand="0" w:evenVBand="0" w:oddHBand="0" w:evenHBand="0" w:firstRowFirstColumn="0" w:firstRowLastColumn="0" w:lastRowFirstColumn="0" w:lastRowLastColumn="0"/>
            </w:pPr>
            <w:r>
              <w:t>Lori Erickson</w:t>
            </w:r>
          </w:p>
        </w:tc>
        <w:tc>
          <w:tcPr>
            <w:tcW w:w="1527" w:type="dxa"/>
          </w:tcPr>
          <w:p w14:paraId="39F0B018" w14:textId="54A5EC24" w:rsidR="00B466AE" w:rsidRDefault="00722842" w:rsidP="00C57C5F">
            <w:pPr>
              <w:spacing w:after="240"/>
              <w:jc w:val="both"/>
              <w:cnfStyle w:val="000000000000" w:firstRow="0" w:lastRow="0" w:firstColumn="0" w:lastColumn="0" w:oddVBand="0" w:evenVBand="0" w:oddHBand="0" w:evenHBand="0" w:firstRowFirstColumn="0" w:firstRowLastColumn="0" w:lastRowFirstColumn="0" w:lastRowLastColumn="0"/>
            </w:pPr>
            <w:r>
              <w:t>Public Works Analyst</w:t>
            </w:r>
          </w:p>
        </w:tc>
        <w:tc>
          <w:tcPr>
            <w:tcW w:w="761" w:type="dxa"/>
          </w:tcPr>
          <w:p w14:paraId="61A06E8B" w14:textId="14B43D58" w:rsidR="00B466AE" w:rsidRDefault="00722842"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761" w:type="dxa"/>
          </w:tcPr>
          <w:p w14:paraId="62BDC4ED" w14:textId="0C6662BA" w:rsidR="00B466AE" w:rsidRDefault="00722842"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999" w:type="dxa"/>
          </w:tcPr>
          <w:p w14:paraId="2538B0A9" w14:textId="1F0A3527" w:rsidR="00B466AE" w:rsidRDefault="00722842" w:rsidP="00C57C5F">
            <w:pPr>
              <w:spacing w:after="240"/>
              <w:jc w:val="both"/>
              <w:cnfStyle w:val="000000000000" w:firstRow="0" w:lastRow="0" w:firstColumn="0" w:lastColumn="0" w:oddVBand="0" w:evenVBand="0" w:oddHBand="0" w:evenHBand="0" w:firstRowFirstColumn="0" w:firstRowLastColumn="0" w:lastRowFirstColumn="0" w:lastRowLastColumn="0"/>
            </w:pPr>
            <w:r>
              <w:t>United States</w:t>
            </w:r>
          </w:p>
        </w:tc>
      </w:tr>
      <w:tr w:rsidR="00B466AE" w14:paraId="199BC95E" w14:textId="77777777" w:rsidTr="00C57C5F">
        <w:tc>
          <w:tcPr>
            <w:cnfStyle w:val="001000000000" w:firstRow="0" w:lastRow="0" w:firstColumn="1" w:lastColumn="0" w:oddVBand="0" w:evenVBand="0" w:oddHBand="0" w:evenHBand="0" w:firstRowFirstColumn="0" w:firstRowLastColumn="0" w:lastRowFirstColumn="0" w:lastRowLastColumn="0"/>
            <w:tcW w:w="1204" w:type="dxa"/>
            <w:vMerge/>
          </w:tcPr>
          <w:p w14:paraId="01D2E97D" w14:textId="77777777" w:rsidR="00B466AE" w:rsidRDefault="00B466AE" w:rsidP="00C57C5F">
            <w:pPr>
              <w:spacing w:after="240"/>
              <w:jc w:val="both"/>
            </w:pPr>
          </w:p>
        </w:tc>
        <w:tc>
          <w:tcPr>
            <w:tcW w:w="1216" w:type="dxa"/>
            <w:vMerge/>
          </w:tcPr>
          <w:p w14:paraId="1354086D" w14:textId="77777777" w:rsidR="00B466AE" w:rsidRDefault="00B466AE" w:rsidP="00C57C5F">
            <w:pPr>
              <w:spacing w:after="240"/>
              <w:jc w:val="both"/>
              <w:cnfStyle w:val="000000000000" w:firstRow="0" w:lastRow="0" w:firstColumn="0" w:lastColumn="0" w:oddVBand="0" w:evenVBand="0" w:oddHBand="0" w:evenHBand="0" w:firstRowFirstColumn="0" w:firstRowLastColumn="0" w:lastRowFirstColumn="0" w:lastRowLastColumn="0"/>
            </w:pPr>
          </w:p>
        </w:tc>
        <w:tc>
          <w:tcPr>
            <w:tcW w:w="1218" w:type="dxa"/>
          </w:tcPr>
          <w:p w14:paraId="19D3F0EE" w14:textId="17034E40" w:rsidR="00B466AE" w:rsidRDefault="002A6F0F" w:rsidP="00C57C5F">
            <w:pPr>
              <w:spacing w:after="240"/>
              <w:jc w:val="both"/>
              <w:cnfStyle w:val="000000000000" w:firstRow="0" w:lastRow="0" w:firstColumn="0" w:lastColumn="0" w:oddVBand="0" w:evenVBand="0" w:oddHBand="0" w:evenHBand="0" w:firstRowFirstColumn="0" w:firstRowLastColumn="0" w:lastRowFirstColumn="0" w:lastRowLastColumn="0"/>
            </w:pPr>
            <w:r>
              <w:t>11/22/2024</w:t>
            </w:r>
          </w:p>
        </w:tc>
        <w:tc>
          <w:tcPr>
            <w:tcW w:w="1304" w:type="dxa"/>
          </w:tcPr>
          <w:p w14:paraId="72CE8ED5" w14:textId="53A4B6BB" w:rsidR="00B466AE" w:rsidRDefault="002A6F0F" w:rsidP="00C57C5F">
            <w:pPr>
              <w:spacing w:after="240"/>
              <w:jc w:val="both"/>
              <w:cnfStyle w:val="000000000000" w:firstRow="0" w:lastRow="0" w:firstColumn="0" w:lastColumn="0" w:oddVBand="0" w:evenVBand="0" w:oddHBand="0" w:evenHBand="0" w:firstRowFirstColumn="0" w:firstRowLastColumn="0" w:lastRowFirstColumn="0" w:lastRowLastColumn="0"/>
            </w:pPr>
            <w:r>
              <w:t>Gloriana Huhta</w:t>
            </w:r>
          </w:p>
        </w:tc>
        <w:tc>
          <w:tcPr>
            <w:tcW w:w="1527" w:type="dxa"/>
          </w:tcPr>
          <w:p w14:paraId="794A804E" w14:textId="4BD679D0" w:rsidR="00B466AE" w:rsidRDefault="002A6F0F" w:rsidP="00C57C5F">
            <w:pPr>
              <w:spacing w:after="240"/>
              <w:jc w:val="both"/>
              <w:cnfStyle w:val="000000000000" w:firstRow="0" w:lastRow="0" w:firstColumn="0" w:lastColumn="0" w:oddVBand="0" w:evenVBand="0" w:oddHBand="0" w:evenHBand="0" w:firstRowFirstColumn="0" w:firstRowLastColumn="0" w:lastRowFirstColumn="0" w:lastRowLastColumn="0"/>
            </w:pPr>
            <w:r>
              <w:t>Permit Specialist</w:t>
            </w:r>
          </w:p>
        </w:tc>
        <w:tc>
          <w:tcPr>
            <w:tcW w:w="761" w:type="dxa"/>
          </w:tcPr>
          <w:p w14:paraId="3A292526" w14:textId="529B740D" w:rsidR="00B466AE" w:rsidRDefault="00AA74CC"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761" w:type="dxa"/>
          </w:tcPr>
          <w:p w14:paraId="57830389" w14:textId="6704DEB3" w:rsidR="00B466AE" w:rsidRDefault="00AA74CC"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999" w:type="dxa"/>
          </w:tcPr>
          <w:p w14:paraId="582B8BB7" w14:textId="18C30447" w:rsidR="00B466AE" w:rsidRDefault="00AA74CC" w:rsidP="00C57C5F">
            <w:pPr>
              <w:spacing w:after="240"/>
              <w:jc w:val="both"/>
              <w:cnfStyle w:val="000000000000" w:firstRow="0" w:lastRow="0" w:firstColumn="0" w:lastColumn="0" w:oddVBand="0" w:evenVBand="0" w:oddHBand="0" w:evenHBand="0" w:firstRowFirstColumn="0" w:firstRowLastColumn="0" w:lastRowFirstColumn="0" w:lastRowLastColumn="0"/>
            </w:pPr>
            <w:r>
              <w:t>United States</w:t>
            </w:r>
          </w:p>
        </w:tc>
      </w:tr>
      <w:tr w:rsidR="002A6F0F" w14:paraId="4FDD3701" w14:textId="77777777" w:rsidTr="00C57C5F">
        <w:tc>
          <w:tcPr>
            <w:cnfStyle w:val="001000000000" w:firstRow="0" w:lastRow="0" w:firstColumn="1" w:lastColumn="0" w:oddVBand="0" w:evenVBand="0" w:oddHBand="0" w:evenHBand="0" w:firstRowFirstColumn="0" w:firstRowLastColumn="0" w:lastRowFirstColumn="0" w:lastRowLastColumn="0"/>
            <w:tcW w:w="1204" w:type="dxa"/>
          </w:tcPr>
          <w:p w14:paraId="6AE2845F" w14:textId="77777777" w:rsidR="002A6F0F" w:rsidRDefault="002A6F0F" w:rsidP="00C57C5F">
            <w:pPr>
              <w:spacing w:after="240"/>
              <w:jc w:val="both"/>
            </w:pPr>
          </w:p>
        </w:tc>
        <w:tc>
          <w:tcPr>
            <w:tcW w:w="1216" w:type="dxa"/>
          </w:tcPr>
          <w:p w14:paraId="0EFD29AD" w14:textId="77777777" w:rsidR="002A6F0F" w:rsidRDefault="002A6F0F" w:rsidP="00C57C5F">
            <w:pPr>
              <w:spacing w:after="240"/>
              <w:jc w:val="both"/>
              <w:cnfStyle w:val="000000000000" w:firstRow="0" w:lastRow="0" w:firstColumn="0" w:lastColumn="0" w:oddVBand="0" w:evenVBand="0" w:oddHBand="0" w:evenHBand="0" w:firstRowFirstColumn="0" w:firstRowLastColumn="0" w:lastRowFirstColumn="0" w:lastRowLastColumn="0"/>
            </w:pPr>
          </w:p>
        </w:tc>
        <w:tc>
          <w:tcPr>
            <w:tcW w:w="1218" w:type="dxa"/>
          </w:tcPr>
          <w:p w14:paraId="21347A63" w14:textId="34F7EB60" w:rsidR="002A6F0F" w:rsidRDefault="00C839B3" w:rsidP="00C57C5F">
            <w:pPr>
              <w:spacing w:after="240"/>
              <w:jc w:val="both"/>
              <w:cnfStyle w:val="000000000000" w:firstRow="0" w:lastRow="0" w:firstColumn="0" w:lastColumn="0" w:oddVBand="0" w:evenVBand="0" w:oddHBand="0" w:evenHBand="0" w:firstRowFirstColumn="0" w:firstRowLastColumn="0" w:lastRowFirstColumn="0" w:lastRowLastColumn="0"/>
            </w:pPr>
            <w:r>
              <w:t>2/27/2025</w:t>
            </w:r>
          </w:p>
        </w:tc>
        <w:tc>
          <w:tcPr>
            <w:tcW w:w="1304" w:type="dxa"/>
          </w:tcPr>
          <w:p w14:paraId="7547E5B4" w14:textId="2288E61F" w:rsidR="002A6F0F" w:rsidRDefault="00C839B3" w:rsidP="00C57C5F">
            <w:pPr>
              <w:spacing w:after="240"/>
              <w:jc w:val="both"/>
              <w:cnfStyle w:val="000000000000" w:firstRow="0" w:lastRow="0" w:firstColumn="0" w:lastColumn="0" w:oddVBand="0" w:evenVBand="0" w:oddHBand="0" w:evenHBand="0" w:firstRowFirstColumn="0" w:firstRowLastColumn="0" w:lastRowFirstColumn="0" w:lastRowLastColumn="0"/>
            </w:pPr>
            <w:r>
              <w:t>David Levitan</w:t>
            </w:r>
          </w:p>
        </w:tc>
        <w:tc>
          <w:tcPr>
            <w:tcW w:w="1527" w:type="dxa"/>
          </w:tcPr>
          <w:p w14:paraId="62441E01" w14:textId="3A2D010C" w:rsidR="002A6F0F" w:rsidRDefault="00C839B3" w:rsidP="00C57C5F">
            <w:pPr>
              <w:spacing w:after="240"/>
              <w:jc w:val="both"/>
              <w:cnfStyle w:val="000000000000" w:firstRow="0" w:lastRow="0" w:firstColumn="0" w:lastColumn="0" w:oddVBand="0" w:evenVBand="0" w:oddHBand="0" w:evenHBand="0" w:firstRowFirstColumn="0" w:firstRowLastColumn="0" w:lastRowFirstColumn="0" w:lastRowLastColumn="0"/>
            </w:pPr>
            <w:r>
              <w:t>Principal Planner</w:t>
            </w:r>
          </w:p>
        </w:tc>
        <w:tc>
          <w:tcPr>
            <w:tcW w:w="761" w:type="dxa"/>
          </w:tcPr>
          <w:p w14:paraId="6A3FF0B1" w14:textId="7F5ACDC3" w:rsidR="002A6F0F" w:rsidRDefault="00C839B3"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761" w:type="dxa"/>
          </w:tcPr>
          <w:p w14:paraId="32019875" w14:textId="10375D1B" w:rsidR="002A6F0F" w:rsidRDefault="00C839B3" w:rsidP="00C57C5F">
            <w:pPr>
              <w:spacing w:after="240"/>
              <w:jc w:val="both"/>
              <w:cnfStyle w:val="000000000000" w:firstRow="0" w:lastRow="0" w:firstColumn="0" w:lastColumn="0" w:oddVBand="0" w:evenVBand="0" w:oddHBand="0" w:evenHBand="0" w:firstRowFirstColumn="0" w:firstRowLastColumn="0" w:lastRowFirstColumn="0" w:lastRowLastColumn="0"/>
            </w:pPr>
            <w:r>
              <w:t>White</w:t>
            </w:r>
          </w:p>
        </w:tc>
        <w:tc>
          <w:tcPr>
            <w:tcW w:w="999" w:type="dxa"/>
          </w:tcPr>
          <w:p w14:paraId="02429866" w14:textId="0627FE1A" w:rsidR="002A6F0F" w:rsidRDefault="00C839B3" w:rsidP="00C57C5F">
            <w:pPr>
              <w:spacing w:after="240"/>
              <w:jc w:val="both"/>
              <w:cnfStyle w:val="000000000000" w:firstRow="0" w:lastRow="0" w:firstColumn="0" w:lastColumn="0" w:oddVBand="0" w:evenVBand="0" w:oddHBand="0" w:evenHBand="0" w:firstRowFirstColumn="0" w:firstRowLastColumn="0" w:lastRowFirstColumn="0" w:lastRowLastColumn="0"/>
            </w:pPr>
            <w:r>
              <w:t>United States</w:t>
            </w:r>
          </w:p>
        </w:tc>
      </w:tr>
    </w:tbl>
    <w:p w14:paraId="03552A65" w14:textId="77777777" w:rsidR="00B466AE" w:rsidRPr="00D92BFA" w:rsidRDefault="00B466AE" w:rsidP="00D92BFA">
      <w:pPr>
        <w:spacing w:line="240" w:lineRule="auto"/>
        <w:ind w:left="360"/>
        <w:jc w:val="both"/>
      </w:pPr>
    </w:p>
    <w:p w14:paraId="3CA029F6" w14:textId="23FA8F3A" w:rsidR="00C63EF6" w:rsidRDefault="00576E7A" w:rsidP="007C3AF8">
      <w:pPr>
        <w:spacing w:after="240" w:line="240" w:lineRule="auto"/>
        <w:ind w:left="360"/>
        <w:jc w:val="both"/>
      </w:pPr>
      <w:r>
        <w:t xml:space="preserve">3. </w:t>
      </w:r>
      <w:proofErr w:type="gramStart"/>
      <w:r w:rsidR="000F3BDC">
        <w:t>List</w:t>
      </w:r>
      <w:proofErr w:type="gramEnd"/>
      <w:r w:rsidR="000F3BDC">
        <w:t xml:space="preserve"> other civil rights training</w:t>
      </w:r>
      <w:r w:rsidR="005A5EA6">
        <w:t xml:space="preserve"> </w:t>
      </w:r>
      <w:r w:rsidR="00654C30" w:rsidRPr="00D92BFA">
        <w:t>conduct</w:t>
      </w:r>
      <w:r w:rsidR="000F3BDC">
        <w:t>ed locally.</w:t>
      </w:r>
      <w:r w:rsidR="00654C30" w:rsidRPr="00D92BFA">
        <w:t xml:space="preserve"> Provide</w:t>
      </w:r>
      <w:r w:rsidR="00FA3691">
        <w:t xml:space="preserve"> dates and a</w:t>
      </w:r>
      <w:r w:rsidR="00654C30" w:rsidRPr="00D92BFA">
        <w:t xml:space="preserve"> list of participants by job title and Title VI role, if applicable.</w:t>
      </w:r>
    </w:p>
    <w:p w14:paraId="2BDB7DF7" w14:textId="5CD97DAF" w:rsidR="0083403B" w:rsidRPr="00FD4A3C" w:rsidRDefault="00FD4A3C" w:rsidP="007C3AF8">
      <w:pPr>
        <w:spacing w:after="0" w:line="240" w:lineRule="auto"/>
        <w:jc w:val="both"/>
        <w:rPr>
          <w:bCs/>
        </w:rPr>
      </w:pPr>
      <w:r w:rsidRPr="002910F5">
        <w:rPr>
          <w:bCs/>
        </w:rPr>
        <w:t>15.</w:t>
      </w:r>
      <w:r w:rsidRPr="002910F5">
        <w:rPr>
          <w:b/>
        </w:rPr>
        <w:t xml:space="preserve"> </w:t>
      </w:r>
      <w:r w:rsidR="00FE45B6" w:rsidRPr="002910F5">
        <w:rPr>
          <w:bCs/>
        </w:rPr>
        <w:t>Tit</w:t>
      </w:r>
      <w:r w:rsidR="0083403B" w:rsidRPr="002910F5">
        <w:rPr>
          <w:bCs/>
        </w:rPr>
        <w:t>le VI Goals for Upcoming Year</w:t>
      </w:r>
    </w:p>
    <w:p w14:paraId="1E7C4287" w14:textId="0FA52503" w:rsidR="00FE45B6" w:rsidRDefault="00127AC2" w:rsidP="004A0F9A">
      <w:pPr>
        <w:spacing w:after="0" w:line="240" w:lineRule="auto"/>
        <w:jc w:val="both"/>
      </w:pPr>
      <w:r>
        <w:t>What</w:t>
      </w:r>
      <w:r w:rsidR="00FE45B6">
        <w:t xml:space="preserve"> area(s) of Title VI </w:t>
      </w:r>
      <w:r>
        <w:t xml:space="preserve">does </w:t>
      </w:r>
      <w:r w:rsidR="00FE45B6">
        <w:t xml:space="preserve">your agency </w:t>
      </w:r>
      <w:r>
        <w:t>plan</w:t>
      </w:r>
      <w:r w:rsidR="00FE45B6">
        <w:t xml:space="preserve"> to focus on in the upcoming year</w:t>
      </w:r>
      <w:r>
        <w:t>?</w:t>
      </w:r>
      <w:r w:rsidR="00FE45B6">
        <w:t xml:space="preserve"> Describe </w:t>
      </w:r>
      <w:r w:rsidR="00A169E3">
        <w:t xml:space="preserve">by </w:t>
      </w:r>
      <w:r>
        <w:t xml:space="preserve">particular </w:t>
      </w:r>
      <w:r w:rsidR="00BE6DD2">
        <w:t>program area</w:t>
      </w:r>
      <w:r w:rsidR="00FE45B6">
        <w:t xml:space="preserve"> what your agency hopes to accomplish. I</w:t>
      </w:r>
      <w:r w:rsidR="00A169E3">
        <w:t xml:space="preserve">nclude </w:t>
      </w:r>
      <w:r w:rsidR="00FE45B6">
        <w:t>any significant problem areas to focus on and plans to address those.</w:t>
      </w:r>
    </w:p>
    <w:p w14:paraId="6032B795" w14:textId="77777777" w:rsidR="00EA0310" w:rsidRDefault="00EA0310" w:rsidP="004A0F9A">
      <w:pPr>
        <w:spacing w:after="0" w:line="240" w:lineRule="auto"/>
        <w:jc w:val="both"/>
        <w:rPr>
          <w:highlight w:val="yellow"/>
        </w:rPr>
      </w:pPr>
    </w:p>
    <w:p w14:paraId="35BE73C9" w14:textId="36833E8B" w:rsidR="00EA0310" w:rsidRPr="00F06F64" w:rsidRDefault="00CB64C9" w:rsidP="004A0F9A">
      <w:pPr>
        <w:spacing w:after="0" w:line="240" w:lineRule="auto"/>
        <w:jc w:val="both"/>
      </w:pPr>
      <w:r w:rsidRPr="00F06F64">
        <w:t xml:space="preserve">In the next reporting </w:t>
      </w:r>
      <w:proofErr w:type="gramStart"/>
      <w:r w:rsidRPr="00F06F64">
        <w:t>period</w:t>
      </w:r>
      <w:proofErr w:type="gramEnd"/>
      <w:r w:rsidRPr="00F06F64">
        <w:t xml:space="preserve"> we plan to expand </w:t>
      </w:r>
      <w:proofErr w:type="gramStart"/>
      <w:r w:rsidRPr="00F06F64">
        <w:t>related training</w:t>
      </w:r>
      <w:proofErr w:type="gramEnd"/>
      <w:r w:rsidRPr="00F06F64">
        <w:t xml:space="preserve"> to additional employees.</w:t>
      </w:r>
      <w:r w:rsidR="00771F24" w:rsidRPr="00F06F64">
        <w:t xml:space="preserve"> The City also has a goal of expanding the availability of telephone</w:t>
      </w:r>
      <w:r w:rsidR="005A4A87" w:rsidRPr="00F06F64">
        <w:t>-based interpreting services so that it is available for use by all departments in the city</w:t>
      </w:r>
      <w:r w:rsidR="001C34B8">
        <w:t>, on-demand</w:t>
      </w:r>
      <w:r w:rsidR="005A4A87" w:rsidRPr="00F06F64">
        <w:t>.</w:t>
      </w:r>
    </w:p>
    <w:p w14:paraId="23415E15" w14:textId="77777777" w:rsidR="005A4A87" w:rsidRDefault="005A4A87" w:rsidP="004A0F9A">
      <w:pPr>
        <w:spacing w:after="0" w:line="240" w:lineRule="auto"/>
        <w:jc w:val="both"/>
        <w:rPr>
          <w:highlight w:val="yellow"/>
        </w:rPr>
      </w:pPr>
    </w:p>
    <w:p w14:paraId="2375C915" w14:textId="77777777" w:rsidR="003A0001" w:rsidRPr="00D92BFA" w:rsidRDefault="003A0001" w:rsidP="004A0F9A">
      <w:pPr>
        <w:spacing w:after="0" w:line="240" w:lineRule="auto"/>
        <w:jc w:val="both"/>
      </w:pPr>
    </w:p>
    <w:p w14:paraId="2010E7B2" w14:textId="77777777" w:rsidR="00395497" w:rsidRPr="00A85962" w:rsidRDefault="00395497" w:rsidP="00A85962">
      <w:pPr>
        <w:jc w:val="both"/>
        <w:rPr>
          <w:sz w:val="20"/>
          <w:szCs w:val="20"/>
        </w:rPr>
      </w:pPr>
    </w:p>
    <w:sectPr w:rsidR="00395497" w:rsidRPr="00A85962" w:rsidSect="0094659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1015" w14:textId="77777777" w:rsidR="00F80428" w:rsidRDefault="00F80428" w:rsidP="00A85962">
      <w:pPr>
        <w:spacing w:after="0" w:line="240" w:lineRule="auto"/>
      </w:pPr>
      <w:r>
        <w:separator/>
      </w:r>
    </w:p>
  </w:endnote>
  <w:endnote w:type="continuationSeparator" w:id="0">
    <w:p w14:paraId="0A06B9BF" w14:textId="77777777" w:rsidR="00F80428" w:rsidRDefault="00F80428" w:rsidP="00A8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47E3" w14:textId="77777777" w:rsidR="00FC0A69" w:rsidRDefault="00FC0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2B4C" w14:textId="77777777" w:rsidR="00FC0A69" w:rsidRDefault="00FC0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0F12" w14:textId="77777777" w:rsidR="00FC0A69" w:rsidRDefault="00FC0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7F1DB" w14:textId="77777777" w:rsidR="00F80428" w:rsidRDefault="00F80428" w:rsidP="00A85962">
      <w:pPr>
        <w:spacing w:after="0" w:line="240" w:lineRule="auto"/>
      </w:pPr>
      <w:r>
        <w:separator/>
      </w:r>
    </w:p>
  </w:footnote>
  <w:footnote w:type="continuationSeparator" w:id="0">
    <w:p w14:paraId="06AAAAA8" w14:textId="77777777" w:rsidR="00F80428" w:rsidRDefault="00F80428" w:rsidP="00A8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0B25" w14:textId="77777777" w:rsidR="00FC0A69" w:rsidRDefault="00FC0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54740C63" w14:textId="33919475" w:rsidR="000F3BDC" w:rsidRDefault="000F3BDC" w:rsidP="00127AC2">
        <w:pPr>
          <w:pStyle w:val="Header"/>
          <w:tabs>
            <w:tab w:val="left" w:pos="7560"/>
          </w:tabs>
        </w:pPr>
        <w:r>
          <w:t xml:space="preserve">Page </w:t>
        </w:r>
        <w:r>
          <w:rPr>
            <w:b/>
            <w:bCs/>
            <w:sz w:val="24"/>
            <w:szCs w:val="24"/>
          </w:rPr>
          <w:fldChar w:fldCharType="begin"/>
        </w:r>
        <w:r>
          <w:rPr>
            <w:b/>
            <w:bCs/>
          </w:rPr>
          <w:instrText xml:space="preserve"> PAGE </w:instrText>
        </w:r>
        <w:r>
          <w:rPr>
            <w:b/>
            <w:bCs/>
            <w:sz w:val="24"/>
            <w:szCs w:val="24"/>
          </w:rPr>
          <w:fldChar w:fldCharType="separate"/>
        </w:r>
        <w:r w:rsidR="005705D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05D1">
          <w:rPr>
            <w:b/>
            <w:bCs/>
            <w:noProof/>
          </w:rPr>
          <w:t>3</w:t>
        </w:r>
        <w:r>
          <w:rPr>
            <w:b/>
            <w:bCs/>
            <w:sz w:val="24"/>
            <w:szCs w:val="24"/>
          </w:rPr>
          <w:fldChar w:fldCharType="end"/>
        </w:r>
        <w:r w:rsidR="00127AC2">
          <w:rPr>
            <w:b/>
            <w:bCs/>
            <w:sz w:val="24"/>
            <w:szCs w:val="24"/>
          </w:rPr>
          <w:tab/>
        </w:r>
        <w:r w:rsidR="00127AC2">
          <w:rPr>
            <w:b/>
            <w:bCs/>
            <w:sz w:val="24"/>
            <w:szCs w:val="24"/>
          </w:rPr>
          <w:tab/>
        </w:r>
        <w:r w:rsidR="00127AC2" w:rsidRPr="00127AC2">
          <w:rPr>
            <w:b/>
            <w:bCs/>
          </w:rPr>
          <w:t>Appendix 28.93</w:t>
        </w:r>
      </w:p>
    </w:sdtContent>
  </w:sdt>
  <w:p w14:paraId="030C1553" w14:textId="77777777" w:rsidR="000F3BDC" w:rsidRDefault="000F3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6FBC" w14:textId="77777777" w:rsidR="00C6263D" w:rsidRDefault="00C6263D" w:rsidP="00C6263D">
    <w:pPr>
      <w:rPr>
        <w:rFonts w:eastAsiaTheme="minorEastAsia"/>
        <w:noProof/>
      </w:rPr>
    </w:pPr>
    <w:r>
      <w:rPr>
        <w:rFonts w:ascii="Times New Roman" w:eastAsiaTheme="minorEastAsia" w:hAnsi="Times New Roman"/>
        <w:noProof/>
        <w:sz w:val="20"/>
        <w:szCs w:val="20"/>
      </w:rPr>
      <w:drawing>
        <wp:anchor distT="0" distB="0" distL="114300" distR="114300" simplePos="0" relativeHeight="251658242" behindDoc="0" locked="0" layoutInCell="1" allowOverlap="1" wp14:anchorId="73512A5B" wp14:editId="0BD2DE12">
          <wp:simplePos x="0" y="0"/>
          <wp:positionH relativeFrom="column">
            <wp:posOffset>66675</wp:posOffset>
          </wp:positionH>
          <wp:positionV relativeFrom="paragraph">
            <wp:posOffset>123825</wp:posOffset>
          </wp:positionV>
          <wp:extent cx="390525" cy="390525"/>
          <wp:effectExtent l="0" t="0" r="9525" b="9525"/>
          <wp:wrapSquare wrapText="bothSides"/>
          <wp:docPr id="29" name="Picture 29" descr="cid:image005.png@01D30531.D7E2D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18" descr="cid:image005.png@01D30531.D7E2D5A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8475F" w14:textId="442C5935" w:rsidR="00C6263D" w:rsidRPr="00A85962" w:rsidRDefault="00175C46" w:rsidP="00C6263D">
    <w:pPr>
      <w:overflowPunct w:val="0"/>
      <w:autoSpaceDE w:val="0"/>
      <w:autoSpaceDN w:val="0"/>
      <w:rPr>
        <w:rFonts w:ascii="Times New Roman" w:eastAsiaTheme="minorEastAsia" w:hAnsi="Times New Roman"/>
        <w:noProof/>
        <w:spacing w:val="15"/>
        <w:sz w:val="20"/>
        <w:szCs w:val="20"/>
      </w:rPr>
    </w:pPr>
    <w:r w:rsidRPr="00A85962">
      <w:rPr>
        <w:rFonts w:ascii="Times New Roman" w:eastAsiaTheme="minorEastAsia" w:hAnsi="Times New Roman"/>
        <w:noProof/>
        <w:spacing w:val="15"/>
        <w:sz w:val="20"/>
        <w:szCs w:val="20"/>
      </w:rPr>
      <mc:AlternateContent>
        <mc:Choice Requires="wps">
          <w:drawing>
            <wp:anchor distT="0" distB="0" distL="118745" distR="118745" simplePos="0" relativeHeight="251658240" behindDoc="1" locked="0" layoutInCell="1" allowOverlap="0" wp14:anchorId="339E1981" wp14:editId="53452FD8">
              <wp:simplePos x="0" y="0"/>
              <wp:positionH relativeFrom="margin">
                <wp:align>right</wp:align>
              </wp:positionH>
              <wp:positionV relativeFrom="topMargin">
                <wp:posOffset>1047750</wp:posOffset>
              </wp:positionV>
              <wp:extent cx="5949950" cy="330200"/>
              <wp:effectExtent l="0" t="0" r="0" b="0"/>
              <wp:wrapSquare wrapText="bothSides"/>
              <wp:docPr id="28" name="Rectangle 28"/>
              <wp:cNvGraphicFramePr/>
              <a:graphic xmlns:a="http://schemas.openxmlformats.org/drawingml/2006/main">
                <a:graphicData uri="http://schemas.microsoft.com/office/word/2010/wordprocessingShape">
                  <wps:wsp>
                    <wps:cNvSpPr/>
                    <wps:spPr>
                      <a:xfrm>
                        <a:off x="0" y="0"/>
                        <a:ext cx="5949950" cy="330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pacing w:val="34"/>
                              <w:sz w:val="24"/>
                              <w:szCs w:val="24"/>
                            </w:rPr>
                            <w:alias w:val="Title"/>
                            <w:tag w:val=""/>
                            <w:id w:val="1474792763"/>
                            <w:dataBinding w:prefixMappings="xmlns:ns0='http://purl.org/dc/elements/1.1/' xmlns:ns1='http://schemas.openxmlformats.org/package/2006/metadata/core-properties' " w:xpath="/ns1:coreProperties[1]/ns0:title[1]" w:storeItemID="{6C3C8BC8-F283-45AE-878A-BAB7291924A1}"/>
                            <w:text/>
                          </w:sdtPr>
                          <w:sdtEndPr/>
                          <w:sdtContent>
                            <w:p w14:paraId="66C92861" w14:textId="659880E6" w:rsidR="00C6263D" w:rsidRPr="00E125D8" w:rsidRDefault="006B47A5" w:rsidP="00C6263D">
                              <w:pPr>
                                <w:pStyle w:val="Header"/>
                                <w:tabs>
                                  <w:tab w:val="clear" w:pos="4680"/>
                                  <w:tab w:val="clear" w:pos="9360"/>
                                </w:tabs>
                                <w:jc w:val="center"/>
                                <w:rPr>
                                  <w:b/>
                                  <w:caps/>
                                  <w:color w:val="FFFFFF" w:themeColor="background1"/>
                                  <w:spacing w:val="32"/>
                                  <w:sz w:val="24"/>
                                  <w:szCs w:val="24"/>
                                </w:rPr>
                              </w:pPr>
                              <w:r>
                                <w:rPr>
                                  <w:b/>
                                  <w:caps/>
                                  <w:color w:val="FFFFFF" w:themeColor="background1"/>
                                  <w:spacing w:val="34"/>
                                  <w:sz w:val="24"/>
                                  <w:szCs w:val="24"/>
                                </w:rPr>
                                <w:t>Title VI Accomplishments &amp; Goals Report - WSDOT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339E1981" id="Rectangle 28" o:spid="_x0000_s1026" style="position:absolute;margin-left:417.3pt;margin-top:82.5pt;width:468.5pt;height:26pt;z-index:-251658240;visibility:visible;mso-wrap-style:square;mso-width-percent:1000;mso-height-percent:0;mso-wrap-distance-left:9.35pt;mso-wrap-distance-top:0;mso-wrap-distance-right:9.35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" o:allowoverlap="f" fillcolor="#5b9bd5 [3204]" stroked="f" strokeweight="1pt">
              <v:textbox>
                <w:txbxContent>
                  <w:sdt>
                    <w:sdtPr>
                      <w:rPr>
                        <w:b/>
                        <w:caps/>
                        <w:color w:val="FFFFFF" w:themeColor="background1"/>
                        <w:spacing w:val="34"/>
                        <w:sz w:val="24"/>
                        <w:szCs w:val="24"/>
                      </w:rPr>
                      <w:alias w:val="Title"/>
                      <w:tag w:val=""/>
                      <w:id w:val="1474792763"/>
                      <w:dataBinding w:prefixMappings="xmlns:ns0='http://purl.org/dc/elements/1.1/' xmlns:ns1='http://schemas.openxmlformats.org/package/2006/metadata/core-properties' " w:xpath="/ns1:coreProperties[1]/ns0:title[1]" w:storeItemID="{6C3C8BC8-F283-45AE-878A-BAB7291924A1}"/>
                      <w:text/>
                    </w:sdtPr>
                    <w:sdtEndPr/>
                    <w:sdtContent>
                      <w:p w14:paraId="66C92861" w14:textId="659880E6" w:rsidR="00C6263D" w:rsidRPr="00E125D8" w:rsidRDefault="006B47A5" w:rsidP="00C6263D">
                        <w:pPr>
                          <w:pStyle w:val="Header"/>
                          <w:tabs>
                            <w:tab w:val="clear" w:pos="4680"/>
                            <w:tab w:val="clear" w:pos="9360"/>
                          </w:tabs>
                          <w:jc w:val="center"/>
                          <w:rPr>
                            <w:b/>
                            <w:caps/>
                            <w:color w:val="FFFFFF" w:themeColor="background1"/>
                            <w:spacing w:val="32"/>
                            <w:sz w:val="24"/>
                            <w:szCs w:val="24"/>
                          </w:rPr>
                        </w:pPr>
                        <w:r>
                          <w:rPr>
                            <w:b/>
                            <w:caps/>
                            <w:color w:val="FFFFFF" w:themeColor="background1"/>
                            <w:spacing w:val="34"/>
                            <w:sz w:val="24"/>
                            <w:szCs w:val="24"/>
                          </w:rPr>
                          <w:t>Title VI Accomplishments &amp; Goals Report - WSDOT</w:t>
                        </w:r>
                      </w:p>
                    </w:sdtContent>
                  </w:sdt>
                </w:txbxContent>
              </v:textbox>
              <w10:wrap type="square" anchorx="margin" anchory="margin"/>
            </v:rect>
          </w:pict>
        </mc:Fallback>
      </mc:AlternateContent>
    </w:r>
    <w:r w:rsidR="00C6263D">
      <w:rPr>
        <w:rFonts w:ascii="Times New Roman" w:eastAsiaTheme="minorEastAsia" w:hAnsi="Times New Roman"/>
        <w:noProof/>
        <w:spacing w:val="15"/>
        <w:sz w:val="20"/>
        <w:szCs w:val="20"/>
      </w:rPr>
      <w:drawing>
        <wp:anchor distT="0" distB="0" distL="114300" distR="114300" simplePos="0" relativeHeight="251658241" behindDoc="0" locked="0" layoutInCell="1" allowOverlap="1" wp14:anchorId="20496456" wp14:editId="3A9AFC2D">
          <wp:simplePos x="0" y="0"/>
          <wp:positionH relativeFrom="column">
            <wp:posOffset>542925</wp:posOffset>
          </wp:positionH>
          <wp:positionV relativeFrom="paragraph">
            <wp:posOffset>9525</wp:posOffset>
          </wp:positionV>
          <wp:extent cx="1343025" cy="266700"/>
          <wp:effectExtent l="0" t="0" r="9525" b="0"/>
          <wp:wrapSquare wrapText="bothSides"/>
          <wp:docPr id="30" name="Picture 30" descr="cid:image006.png@01D30531.D7E2D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2" descr="cid:image006.png@01D30531.D7E2D5A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263D">
      <w:rPr>
        <w:rFonts w:ascii="Times New Roman" w:eastAsiaTheme="minorEastAsia" w:hAnsi="Times New Roman"/>
        <w:noProof/>
        <w:spacing w:val="15"/>
        <w:sz w:val="20"/>
        <w:szCs w:val="20"/>
      </w:rPr>
      <w:tab/>
    </w:r>
    <w:r w:rsidR="00C6263D">
      <w:rPr>
        <w:rFonts w:ascii="Times New Roman" w:eastAsiaTheme="minorEastAsia" w:hAnsi="Times New Roman"/>
        <w:noProof/>
        <w:spacing w:val="15"/>
        <w:sz w:val="20"/>
        <w:szCs w:val="20"/>
      </w:rPr>
      <w:tab/>
      <w:t>Report for</w:t>
    </w:r>
    <w:r w:rsidR="008F6272">
      <w:rPr>
        <w:rFonts w:ascii="Times New Roman" w:eastAsiaTheme="minorEastAsia" w:hAnsi="Times New Roman"/>
        <w:noProof/>
        <w:spacing w:val="15"/>
        <w:sz w:val="20"/>
        <w:szCs w:val="20"/>
      </w:rPr>
      <w:t xml:space="preserve"> </w:t>
    </w:r>
    <w:r w:rsidR="00FC0A69">
      <w:rPr>
        <w:rFonts w:ascii="Times New Roman" w:eastAsiaTheme="minorEastAsia" w:hAnsi="Times New Roman"/>
        <w:noProof/>
        <w:spacing w:val="15"/>
        <w:sz w:val="20"/>
        <w:szCs w:val="20"/>
      </w:rPr>
      <w:t>April</w:t>
    </w:r>
    <w:r w:rsidR="008F6272">
      <w:rPr>
        <w:rFonts w:ascii="Times New Roman" w:eastAsiaTheme="minorEastAsia" w:hAnsi="Times New Roman"/>
        <w:noProof/>
        <w:spacing w:val="15"/>
        <w:sz w:val="20"/>
        <w:szCs w:val="20"/>
      </w:rPr>
      <w:t xml:space="preserve"> </w:t>
    </w:r>
    <w:r w:rsidR="00FC0A69">
      <w:rPr>
        <w:rFonts w:ascii="Times New Roman" w:eastAsiaTheme="minorEastAsia" w:hAnsi="Times New Roman"/>
        <w:noProof/>
        <w:spacing w:val="15"/>
        <w:sz w:val="20"/>
        <w:szCs w:val="20"/>
      </w:rPr>
      <w:t>2024</w:t>
    </w:r>
    <w:r w:rsidR="00C6263D">
      <w:rPr>
        <w:rFonts w:ascii="Times New Roman" w:eastAsiaTheme="minorEastAsia" w:hAnsi="Times New Roman"/>
        <w:noProof/>
        <w:spacing w:val="15"/>
        <w:sz w:val="20"/>
        <w:szCs w:val="20"/>
      </w:rPr>
      <w:t xml:space="preserve"> through</w:t>
    </w:r>
    <w:r w:rsidR="00FC0A69">
      <w:rPr>
        <w:rFonts w:ascii="Times New Roman" w:eastAsiaTheme="minorEastAsia" w:hAnsi="Times New Roman"/>
        <w:noProof/>
        <w:spacing w:val="15"/>
        <w:sz w:val="20"/>
        <w:szCs w:val="20"/>
      </w:rPr>
      <w:t xml:space="preserve"> March</w:t>
    </w:r>
    <w:r w:rsidR="00C6263D">
      <w:rPr>
        <w:rFonts w:ascii="Times New Roman" w:eastAsiaTheme="minorEastAsia" w:hAnsi="Times New Roman"/>
        <w:noProof/>
        <w:spacing w:val="15"/>
        <w:sz w:val="20"/>
        <w:szCs w:val="20"/>
      </w:rPr>
      <w:t xml:space="preserve"> 20</w:t>
    </w:r>
    <w:r w:rsidR="00703D0D">
      <w:rPr>
        <w:rFonts w:ascii="Times New Roman" w:eastAsiaTheme="minorEastAsia" w:hAnsi="Times New Roman"/>
        <w:noProof/>
        <w:spacing w:val="15"/>
        <w:sz w:val="20"/>
        <w:szCs w:val="20"/>
      </w:rPr>
      <w:t>25</w:t>
    </w:r>
    <w:r w:rsidR="00C6263D">
      <w:rPr>
        <w:rFonts w:ascii="Times New Roman" w:eastAsiaTheme="minorEastAsia" w:hAnsi="Times New Roman"/>
        <w:noProof/>
        <w:spacing w:val="15"/>
        <w:sz w:val="20"/>
        <w:szCs w:val="20"/>
      </w:rPr>
      <w:t xml:space="preserve"> </w:t>
    </w:r>
    <w:r w:rsidR="00C6263D">
      <w:rPr>
        <w:rFonts w:ascii="Times New Roman" w:eastAsiaTheme="minorEastAsia" w:hAnsi="Times New Roman"/>
        <w:noProof/>
        <w:spacing w:val="15"/>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BE0"/>
    <w:multiLevelType w:val="multilevel"/>
    <w:tmpl w:val="65DA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A6536"/>
    <w:multiLevelType w:val="hybridMultilevel"/>
    <w:tmpl w:val="688AE7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496860"/>
    <w:multiLevelType w:val="hybridMultilevel"/>
    <w:tmpl w:val="F57AC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A5C06"/>
    <w:multiLevelType w:val="hybridMultilevel"/>
    <w:tmpl w:val="BCD4B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CD2971"/>
    <w:multiLevelType w:val="multilevel"/>
    <w:tmpl w:val="1D5A8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5993992">
    <w:abstractNumId w:val="3"/>
  </w:num>
  <w:num w:numId="2" w16cid:durableId="1711614909">
    <w:abstractNumId w:val="1"/>
  </w:num>
  <w:num w:numId="3" w16cid:durableId="1710376473">
    <w:abstractNumId w:val="4"/>
  </w:num>
  <w:num w:numId="4" w16cid:durableId="1361397555">
    <w:abstractNumId w:val="0"/>
  </w:num>
  <w:num w:numId="5" w16cid:durableId="1536189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62"/>
    <w:rsid w:val="00005BD2"/>
    <w:rsid w:val="00006AD2"/>
    <w:rsid w:val="000113F7"/>
    <w:rsid w:val="00020FB1"/>
    <w:rsid w:val="00022F92"/>
    <w:rsid w:val="00025AD9"/>
    <w:rsid w:val="00031BB3"/>
    <w:rsid w:val="00033F39"/>
    <w:rsid w:val="000428B6"/>
    <w:rsid w:val="000470E5"/>
    <w:rsid w:val="00047FF2"/>
    <w:rsid w:val="0005217D"/>
    <w:rsid w:val="00054C93"/>
    <w:rsid w:val="000611CE"/>
    <w:rsid w:val="00067E53"/>
    <w:rsid w:val="000857E0"/>
    <w:rsid w:val="00097AA1"/>
    <w:rsid w:val="000A22F2"/>
    <w:rsid w:val="000A5F7E"/>
    <w:rsid w:val="000B5F47"/>
    <w:rsid w:val="000B7957"/>
    <w:rsid w:val="000D439B"/>
    <w:rsid w:val="000E22FF"/>
    <w:rsid w:val="000E27B9"/>
    <w:rsid w:val="000F31F9"/>
    <w:rsid w:val="000F3424"/>
    <w:rsid w:val="000F3BDC"/>
    <w:rsid w:val="0011353B"/>
    <w:rsid w:val="00127AC2"/>
    <w:rsid w:val="00130886"/>
    <w:rsid w:val="00133B30"/>
    <w:rsid w:val="00133EB0"/>
    <w:rsid w:val="00135AF7"/>
    <w:rsid w:val="0015452F"/>
    <w:rsid w:val="00154989"/>
    <w:rsid w:val="00156D3A"/>
    <w:rsid w:val="00160247"/>
    <w:rsid w:val="00160CFA"/>
    <w:rsid w:val="00164694"/>
    <w:rsid w:val="00170609"/>
    <w:rsid w:val="00175C46"/>
    <w:rsid w:val="00177D3D"/>
    <w:rsid w:val="001826B0"/>
    <w:rsid w:val="001C2B7F"/>
    <w:rsid w:val="001C34B8"/>
    <w:rsid w:val="001E3584"/>
    <w:rsid w:val="001E4F94"/>
    <w:rsid w:val="001F2EBB"/>
    <w:rsid w:val="00213FC8"/>
    <w:rsid w:val="00214D5A"/>
    <w:rsid w:val="00216E10"/>
    <w:rsid w:val="0022182E"/>
    <w:rsid w:val="00233D6C"/>
    <w:rsid w:val="002411EA"/>
    <w:rsid w:val="002446DE"/>
    <w:rsid w:val="002449A6"/>
    <w:rsid w:val="00251A4B"/>
    <w:rsid w:val="0026523E"/>
    <w:rsid w:val="00275D6F"/>
    <w:rsid w:val="002775F1"/>
    <w:rsid w:val="0028494B"/>
    <w:rsid w:val="00286F3D"/>
    <w:rsid w:val="002910F5"/>
    <w:rsid w:val="002931E2"/>
    <w:rsid w:val="0029657C"/>
    <w:rsid w:val="00297C96"/>
    <w:rsid w:val="002A2880"/>
    <w:rsid w:val="002A2E1D"/>
    <w:rsid w:val="002A6F0F"/>
    <w:rsid w:val="002B29DA"/>
    <w:rsid w:val="002B6085"/>
    <w:rsid w:val="002C00B4"/>
    <w:rsid w:val="002F0FE1"/>
    <w:rsid w:val="002F1333"/>
    <w:rsid w:val="002F4F63"/>
    <w:rsid w:val="0030013D"/>
    <w:rsid w:val="00306232"/>
    <w:rsid w:val="00320343"/>
    <w:rsid w:val="003367C1"/>
    <w:rsid w:val="00337120"/>
    <w:rsid w:val="0033781D"/>
    <w:rsid w:val="003414DA"/>
    <w:rsid w:val="00350CA3"/>
    <w:rsid w:val="00353092"/>
    <w:rsid w:val="003640E7"/>
    <w:rsid w:val="0036429C"/>
    <w:rsid w:val="00365DDC"/>
    <w:rsid w:val="00381CD5"/>
    <w:rsid w:val="003841F4"/>
    <w:rsid w:val="0038684C"/>
    <w:rsid w:val="00390BC0"/>
    <w:rsid w:val="003950C5"/>
    <w:rsid w:val="00395497"/>
    <w:rsid w:val="003A0001"/>
    <w:rsid w:val="003A0AF7"/>
    <w:rsid w:val="003A6C59"/>
    <w:rsid w:val="003A7B48"/>
    <w:rsid w:val="003B2B38"/>
    <w:rsid w:val="003B4999"/>
    <w:rsid w:val="003B547D"/>
    <w:rsid w:val="003E4E39"/>
    <w:rsid w:val="003E75DA"/>
    <w:rsid w:val="003F2C7F"/>
    <w:rsid w:val="003F7091"/>
    <w:rsid w:val="003F730B"/>
    <w:rsid w:val="0040038C"/>
    <w:rsid w:val="00403277"/>
    <w:rsid w:val="0040345B"/>
    <w:rsid w:val="00412EF6"/>
    <w:rsid w:val="004360CC"/>
    <w:rsid w:val="00436ED2"/>
    <w:rsid w:val="00440D40"/>
    <w:rsid w:val="004479C8"/>
    <w:rsid w:val="00455C4B"/>
    <w:rsid w:val="00457F27"/>
    <w:rsid w:val="00460F2C"/>
    <w:rsid w:val="00465A51"/>
    <w:rsid w:val="00477FF6"/>
    <w:rsid w:val="0048410E"/>
    <w:rsid w:val="004970B0"/>
    <w:rsid w:val="00497E73"/>
    <w:rsid w:val="004A0F9A"/>
    <w:rsid w:val="004A2CF8"/>
    <w:rsid w:val="004A3CF1"/>
    <w:rsid w:val="004A4188"/>
    <w:rsid w:val="004B5D85"/>
    <w:rsid w:val="004B7741"/>
    <w:rsid w:val="004C15E9"/>
    <w:rsid w:val="004C27A8"/>
    <w:rsid w:val="004D1A67"/>
    <w:rsid w:val="004D4C9F"/>
    <w:rsid w:val="004E1B9C"/>
    <w:rsid w:val="004E6016"/>
    <w:rsid w:val="004E7578"/>
    <w:rsid w:val="004F735B"/>
    <w:rsid w:val="00504739"/>
    <w:rsid w:val="00521E4D"/>
    <w:rsid w:val="00526C04"/>
    <w:rsid w:val="0054017F"/>
    <w:rsid w:val="00557115"/>
    <w:rsid w:val="0056537D"/>
    <w:rsid w:val="005661FD"/>
    <w:rsid w:val="00567A7C"/>
    <w:rsid w:val="005705D1"/>
    <w:rsid w:val="005715AA"/>
    <w:rsid w:val="00571B42"/>
    <w:rsid w:val="00572497"/>
    <w:rsid w:val="00576E7A"/>
    <w:rsid w:val="0058393A"/>
    <w:rsid w:val="00586EF6"/>
    <w:rsid w:val="005909D9"/>
    <w:rsid w:val="005916E8"/>
    <w:rsid w:val="00591BF2"/>
    <w:rsid w:val="00592C7B"/>
    <w:rsid w:val="00594A85"/>
    <w:rsid w:val="005A4A87"/>
    <w:rsid w:val="005A5EA6"/>
    <w:rsid w:val="005B0086"/>
    <w:rsid w:val="005B50D9"/>
    <w:rsid w:val="005B7240"/>
    <w:rsid w:val="005E002F"/>
    <w:rsid w:val="005E0555"/>
    <w:rsid w:val="005E59A7"/>
    <w:rsid w:val="005F4AF8"/>
    <w:rsid w:val="005F5D48"/>
    <w:rsid w:val="005F678E"/>
    <w:rsid w:val="00605E01"/>
    <w:rsid w:val="00606F88"/>
    <w:rsid w:val="006520EA"/>
    <w:rsid w:val="00654C30"/>
    <w:rsid w:val="00667BD2"/>
    <w:rsid w:val="00670F38"/>
    <w:rsid w:val="00671D54"/>
    <w:rsid w:val="00672E96"/>
    <w:rsid w:val="00676566"/>
    <w:rsid w:val="006902B6"/>
    <w:rsid w:val="00691A25"/>
    <w:rsid w:val="006A4CBB"/>
    <w:rsid w:val="006B32F9"/>
    <w:rsid w:val="006B47A5"/>
    <w:rsid w:val="006C0CC2"/>
    <w:rsid w:val="006D2B11"/>
    <w:rsid w:val="00703D0D"/>
    <w:rsid w:val="00710D43"/>
    <w:rsid w:val="007134E3"/>
    <w:rsid w:val="00716946"/>
    <w:rsid w:val="00722842"/>
    <w:rsid w:val="00725064"/>
    <w:rsid w:val="007327D5"/>
    <w:rsid w:val="00744165"/>
    <w:rsid w:val="00753465"/>
    <w:rsid w:val="00753A2C"/>
    <w:rsid w:val="00754A7F"/>
    <w:rsid w:val="00756698"/>
    <w:rsid w:val="00765D34"/>
    <w:rsid w:val="00771F24"/>
    <w:rsid w:val="00776BC1"/>
    <w:rsid w:val="00777CA8"/>
    <w:rsid w:val="00787B83"/>
    <w:rsid w:val="007A2B1F"/>
    <w:rsid w:val="007A3E25"/>
    <w:rsid w:val="007A665C"/>
    <w:rsid w:val="007A79D2"/>
    <w:rsid w:val="007B3E16"/>
    <w:rsid w:val="007B7158"/>
    <w:rsid w:val="007C3AF8"/>
    <w:rsid w:val="007D18B6"/>
    <w:rsid w:val="007D75B1"/>
    <w:rsid w:val="007F77E9"/>
    <w:rsid w:val="0081175F"/>
    <w:rsid w:val="008126B0"/>
    <w:rsid w:val="00825B15"/>
    <w:rsid w:val="0082647C"/>
    <w:rsid w:val="00826634"/>
    <w:rsid w:val="0083403B"/>
    <w:rsid w:val="00851D9F"/>
    <w:rsid w:val="00857532"/>
    <w:rsid w:val="00892A61"/>
    <w:rsid w:val="00896126"/>
    <w:rsid w:val="008A06E8"/>
    <w:rsid w:val="008A145F"/>
    <w:rsid w:val="008A320D"/>
    <w:rsid w:val="008B6D04"/>
    <w:rsid w:val="008B7A67"/>
    <w:rsid w:val="008B7AB3"/>
    <w:rsid w:val="008E3EFB"/>
    <w:rsid w:val="008E491F"/>
    <w:rsid w:val="008F6272"/>
    <w:rsid w:val="00904BDD"/>
    <w:rsid w:val="00910BE5"/>
    <w:rsid w:val="00912920"/>
    <w:rsid w:val="00943589"/>
    <w:rsid w:val="0094659B"/>
    <w:rsid w:val="009471BF"/>
    <w:rsid w:val="00950B38"/>
    <w:rsid w:val="0096523F"/>
    <w:rsid w:val="00965528"/>
    <w:rsid w:val="00985EE2"/>
    <w:rsid w:val="00991529"/>
    <w:rsid w:val="00991E9B"/>
    <w:rsid w:val="0099666E"/>
    <w:rsid w:val="009A4C89"/>
    <w:rsid w:val="009A5D08"/>
    <w:rsid w:val="009A70B8"/>
    <w:rsid w:val="009B5968"/>
    <w:rsid w:val="009C1844"/>
    <w:rsid w:val="009C7240"/>
    <w:rsid w:val="009C7A81"/>
    <w:rsid w:val="009D494B"/>
    <w:rsid w:val="009D7572"/>
    <w:rsid w:val="009D7D64"/>
    <w:rsid w:val="009E4695"/>
    <w:rsid w:val="009F6DAC"/>
    <w:rsid w:val="00A00B01"/>
    <w:rsid w:val="00A11172"/>
    <w:rsid w:val="00A126A4"/>
    <w:rsid w:val="00A13E9F"/>
    <w:rsid w:val="00A169E3"/>
    <w:rsid w:val="00A26C8F"/>
    <w:rsid w:val="00A27DB6"/>
    <w:rsid w:val="00A31B95"/>
    <w:rsid w:val="00A32796"/>
    <w:rsid w:val="00A67FE1"/>
    <w:rsid w:val="00A85962"/>
    <w:rsid w:val="00A96F76"/>
    <w:rsid w:val="00A97106"/>
    <w:rsid w:val="00AA74CC"/>
    <w:rsid w:val="00AB6A6E"/>
    <w:rsid w:val="00AB752A"/>
    <w:rsid w:val="00AC38D3"/>
    <w:rsid w:val="00AC3F76"/>
    <w:rsid w:val="00AF5027"/>
    <w:rsid w:val="00B0260E"/>
    <w:rsid w:val="00B07C3B"/>
    <w:rsid w:val="00B10BA8"/>
    <w:rsid w:val="00B161B5"/>
    <w:rsid w:val="00B21905"/>
    <w:rsid w:val="00B25190"/>
    <w:rsid w:val="00B313AE"/>
    <w:rsid w:val="00B346B2"/>
    <w:rsid w:val="00B36653"/>
    <w:rsid w:val="00B43AF5"/>
    <w:rsid w:val="00B43CE6"/>
    <w:rsid w:val="00B458E5"/>
    <w:rsid w:val="00B4624D"/>
    <w:rsid w:val="00B466AE"/>
    <w:rsid w:val="00B5330B"/>
    <w:rsid w:val="00B64B3C"/>
    <w:rsid w:val="00B65624"/>
    <w:rsid w:val="00B702E7"/>
    <w:rsid w:val="00B7086E"/>
    <w:rsid w:val="00B80D88"/>
    <w:rsid w:val="00B85E57"/>
    <w:rsid w:val="00B946AD"/>
    <w:rsid w:val="00BB354E"/>
    <w:rsid w:val="00BB5220"/>
    <w:rsid w:val="00BC0D3E"/>
    <w:rsid w:val="00BC14DF"/>
    <w:rsid w:val="00BC2CFE"/>
    <w:rsid w:val="00BD0DF5"/>
    <w:rsid w:val="00BD3419"/>
    <w:rsid w:val="00BD55CD"/>
    <w:rsid w:val="00BE031E"/>
    <w:rsid w:val="00BE42CA"/>
    <w:rsid w:val="00BE6722"/>
    <w:rsid w:val="00BE6DD2"/>
    <w:rsid w:val="00BF1CEE"/>
    <w:rsid w:val="00BF6472"/>
    <w:rsid w:val="00C05505"/>
    <w:rsid w:val="00C208D0"/>
    <w:rsid w:val="00C31D3A"/>
    <w:rsid w:val="00C37846"/>
    <w:rsid w:val="00C403F0"/>
    <w:rsid w:val="00C4748F"/>
    <w:rsid w:val="00C510B1"/>
    <w:rsid w:val="00C5338A"/>
    <w:rsid w:val="00C57CF6"/>
    <w:rsid w:val="00C60689"/>
    <w:rsid w:val="00C60D55"/>
    <w:rsid w:val="00C6263D"/>
    <w:rsid w:val="00C63EF6"/>
    <w:rsid w:val="00C7760B"/>
    <w:rsid w:val="00C77E21"/>
    <w:rsid w:val="00C839B3"/>
    <w:rsid w:val="00C87922"/>
    <w:rsid w:val="00CA5811"/>
    <w:rsid w:val="00CA629A"/>
    <w:rsid w:val="00CB15B1"/>
    <w:rsid w:val="00CB1AF6"/>
    <w:rsid w:val="00CB64C9"/>
    <w:rsid w:val="00CB7AA9"/>
    <w:rsid w:val="00CC174B"/>
    <w:rsid w:val="00CC41E7"/>
    <w:rsid w:val="00CC48A8"/>
    <w:rsid w:val="00CE2A52"/>
    <w:rsid w:val="00D00C8F"/>
    <w:rsid w:val="00D049FC"/>
    <w:rsid w:val="00D11110"/>
    <w:rsid w:val="00D11B98"/>
    <w:rsid w:val="00D1294F"/>
    <w:rsid w:val="00D160DA"/>
    <w:rsid w:val="00D27465"/>
    <w:rsid w:val="00D44D71"/>
    <w:rsid w:val="00D4599E"/>
    <w:rsid w:val="00D5079D"/>
    <w:rsid w:val="00D50CE5"/>
    <w:rsid w:val="00D515CB"/>
    <w:rsid w:val="00D54B4C"/>
    <w:rsid w:val="00D56EF1"/>
    <w:rsid w:val="00D57BA3"/>
    <w:rsid w:val="00D710D5"/>
    <w:rsid w:val="00D74BD0"/>
    <w:rsid w:val="00D8122A"/>
    <w:rsid w:val="00D84E18"/>
    <w:rsid w:val="00D92BFA"/>
    <w:rsid w:val="00D95552"/>
    <w:rsid w:val="00DA215E"/>
    <w:rsid w:val="00DA727A"/>
    <w:rsid w:val="00DB666D"/>
    <w:rsid w:val="00DB71E1"/>
    <w:rsid w:val="00DC0530"/>
    <w:rsid w:val="00DC09E5"/>
    <w:rsid w:val="00DC2BD8"/>
    <w:rsid w:val="00DC45A6"/>
    <w:rsid w:val="00DE6859"/>
    <w:rsid w:val="00DF2F70"/>
    <w:rsid w:val="00E0263C"/>
    <w:rsid w:val="00E05293"/>
    <w:rsid w:val="00E06EFF"/>
    <w:rsid w:val="00E125D8"/>
    <w:rsid w:val="00E1390A"/>
    <w:rsid w:val="00E2311B"/>
    <w:rsid w:val="00E25313"/>
    <w:rsid w:val="00E307BB"/>
    <w:rsid w:val="00E34C63"/>
    <w:rsid w:val="00E433E4"/>
    <w:rsid w:val="00E4387F"/>
    <w:rsid w:val="00E45337"/>
    <w:rsid w:val="00E56A76"/>
    <w:rsid w:val="00E63E3B"/>
    <w:rsid w:val="00E659F2"/>
    <w:rsid w:val="00E66E13"/>
    <w:rsid w:val="00E6720B"/>
    <w:rsid w:val="00E707C9"/>
    <w:rsid w:val="00E81DDF"/>
    <w:rsid w:val="00EA0310"/>
    <w:rsid w:val="00EC75D5"/>
    <w:rsid w:val="00EC79CE"/>
    <w:rsid w:val="00ED26EA"/>
    <w:rsid w:val="00EE76C5"/>
    <w:rsid w:val="00EE77FB"/>
    <w:rsid w:val="00EF6494"/>
    <w:rsid w:val="00EF717D"/>
    <w:rsid w:val="00EF7A8B"/>
    <w:rsid w:val="00F06F64"/>
    <w:rsid w:val="00F32956"/>
    <w:rsid w:val="00F32F9E"/>
    <w:rsid w:val="00F378AD"/>
    <w:rsid w:val="00F4108D"/>
    <w:rsid w:val="00F5629B"/>
    <w:rsid w:val="00F63738"/>
    <w:rsid w:val="00F64748"/>
    <w:rsid w:val="00F66090"/>
    <w:rsid w:val="00F7132F"/>
    <w:rsid w:val="00F77CA4"/>
    <w:rsid w:val="00F80428"/>
    <w:rsid w:val="00F87D42"/>
    <w:rsid w:val="00FA0232"/>
    <w:rsid w:val="00FA3098"/>
    <w:rsid w:val="00FA3691"/>
    <w:rsid w:val="00FA4CAE"/>
    <w:rsid w:val="00FB0102"/>
    <w:rsid w:val="00FB3C70"/>
    <w:rsid w:val="00FC0A69"/>
    <w:rsid w:val="00FD1361"/>
    <w:rsid w:val="00FD4A3C"/>
    <w:rsid w:val="00FE3856"/>
    <w:rsid w:val="00FE45B6"/>
    <w:rsid w:val="00FE5C04"/>
    <w:rsid w:val="00FF0456"/>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9468E"/>
  <w15:chartTrackingRefBased/>
  <w15:docId w15:val="{7DDBDCC5-8336-4713-AC22-8AE3D5B7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53A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962"/>
  </w:style>
  <w:style w:type="paragraph" w:styleId="Footer">
    <w:name w:val="footer"/>
    <w:basedOn w:val="Normal"/>
    <w:link w:val="FooterChar"/>
    <w:uiPriority w:val="99"/>
    <w:unhideWhenUsed/>
    <w:rsid w:val="00A85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962"/>
  </w:style>
  <w:style w:type="character" w:styleId="Hyperlink">
    <w:name w:val="Hyperlink"/>
    <w:basedOn w:val="DefaultParagraphFont"/>
    <w:uiPriority w:val="99"/>
    <w:unhideWhenUsed/>
    <w:rsid w:val="00A85962"/>
    <w:rPr>
      <w:color w:val="0563C1" w:themeColor="hyperlink"/>
      <w:u w:val="single"/>
    </w:rPr>
  </w:style>
  <w:style w:type="paragraph" w:styleId="ListParagraph">
    <w:name w:val="List Paragraph"/>
    <w:basedOn w:val="Normal"/>
    <w:uiPriority w:val="34"/>
    <w:qFormat/>
    <w:rsid w:val="00E125D8"/>
    <w:pPr>
      <w:ind w:left="720"/>
      <w:contextualSpacing/>
    </w:pPr>
  </w:style>
  <w:style w:type="character" w:styleId="FollowedHyperlink">
    <w:name w:val="FollowedHyperlink"/>
    <w:basedOn w:val="DefaultParagraphFont"/>
    <w:uiPriority w:val="99"/>
    <w:semiHidden/>
    <w:unhideWhenUsed/>
    <w:rsid w:val="00F5629B"/>
    <w:rPr>
      <w:color w:val="954F72" w:themeColor="followedHyperlink"/>
      <w:u w:val="single"/>
    </w:rPr>
  </w:style>
  <w:style w:type="paragraph" w:styleId="BalloonText">
    <w:name w:val="Balloon Text"/>
    <w:basedOn w:val="Normal"/>
    <w:link w:val="BalloonTextChar"/>
    <w:uiPriority w:val="99"/>
    <w:semiHidden/>
    <w:unhideWhenUsed/>
    <w:rsid w:val="00BC1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4DF"/>
    <w:rPr>
      <w:rFonts w:ascii="Segoe UI" w:hAnsi="Segoe UI" w:cs="Segoe UI"/>
      <w:sz w:val="18"/>
      <w:szCs w:val="18"/>
    </w:rPr>
  </w:style>
  <w:style w:type="character" w:styleId="CommentReference">
    <w:name w:val="annotation reference"/>
    <w:basedOn w:val="DefaultParagraphFont"/>
    <w:uiPriority w:val="99"/>
    <w:semiHidden/>
    <w:unhideWhenUsed/>
    <w:rsid w:val="007F77E9"/>
    <w:rPr>
      <w:sz w:val="16"/>
      <w:szCs w:val="16"/>
    </w:rPr>
  </w:style>
  <w:style w:type="paragraph" w:styleId="CommentText">
    <w:name w:val="annotation text"/>
    <w:basedOn w:val="Normal"/>
    <w:link w:val="CommentTextChar"/>
    <w:uiPriority w:val="99"/>
    <w:semiHidden/>
    <w:unhideWhenUsed/>
    <w:rsid w:val="007F77E9"/>
    <w:pPr>
      <w:spacing w:line="240" w:lineRule="auto"/>
    </w:pPr>
    <w:rPr>
      <w:sz w:val="20"/>
      <w:szCs w:val="20"/>
    </w:rPr>
  </w:style>
  <w:style w:type="character" w:customStyle="1" w:styleId="CommentTextChar">
    <w:name w:val="Comment Text Char"/>
    <w:basedOn w:val="DefaultParagraphFont"/>
    <w:link w:val="CommentText"/>
    <w:uiPriority w:val="99"/>
    <w:semiHidden/>
    <w:rsid w:val="007F77E9"/>
    <w:rPr>
      <w:sz w:val="20"/>
      <w:szCs w:val="20"/>
    </w:rPr>
  </w:style>
  <w:style w:type="paragraph" w:styleId="CommentSubject">
    <w:name w:val="annotation subject"/>
    <w:basedOn w:val="CommentText"/>
    <w:next w:val="CommentText"/>
    <w:link w:val="CommentSubjectChar"/>
    <w:uiPriority w:val="99"/>
    <w:semiHidden/>
    <w:unhideWhenUsed/>
    <w:rsid w:val="007F77E9"/>
    <w:rPr>
      <w:b/>
      <w:bCs/>
    </w:rPr>
  </w:style>
  <w:style w:type="character" w:customStyle="1" w:styleId="CommentSubjectChar">
    <w:name w:val="Comment Subject Char"/>
    <w:basedOn w:val="CommentTextChar"/>
    <w:link w:val="CommentSubject"/>
    <w:uiPriority w:val="99"/>
    <w:semiHidden/>
    <w:rsid w:val="007F77E9"/>
    <w:rPr>
      <w:b/>
      <w:bCs/>
      <w:sz w:val="20"/>
      <w:szCs w:val="20"/>
    </w:rPr>
  </w:style>
  <w:style w:type="paragraph" w:styleId="Revision">
    <w:name w:val="Revision"/>
    <w:hidden/>
    <w:uiPriority w:val="99"/>
    <w:semiHidden/>
    <w:rsid w:val="009C1844"/>
    <w:pPr>
      <w:spacing w:after="0" w:line="240" w:lineRule="auto"/>
    </w:pPr>
  </w:style>
  <w:style w:type="character" w:customStyle="1" w:styleId="Heading2Char">
    <w:name w:val="Heading 2 Char"/>
    <w:basedOn w:val="DefaultParagraphFont"/>
    <w:link w:val="Heading2"/>
    <w:uiPriority w:val="9"/>
    <w:semiHidden/>
    <w:rsid w:val="00753A2C"/>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753A2C"/>
    <w:rPr>
      <w:color w:val="605E5C"/>
      <w:shd w:val="clear" w:color="auto" w:fill="E1DFDD"/>
    </w:rPr>
  </w:style>
  <w:style w:type="table" w:styleId="GridTable1Light">
    <w:name w:val="Grid Table 1 Light"/>
    <w:basedOn w:val="TableNormal"/>
    <w:uiPriority w:val="46"/>
    <w:rsid w:val="00B466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704">
      <w:bodyDiv w:val="1"/>
      <w:marLeft w:val="0"/>
      <w:marRight w:val="0"/>
      <w:marTop w:val="0"/>
      <w:marBottom w:val="0"/>
      <w:divBdr>
        <w:top w:val="none" w:sz="0" w:space="0" w:color="auto"/>
        <w:left w:val="none" w:sz="0" w:space="0" w:color="auto"/>
        <w:bottom w:val="none" w:sz="0" w:space="0" w:color="auto"/>
        <w:right w:val="none" w:sz="0" w:space="0" w:color="auto"/>
      </w:divBdr>
    </w:div>
    <w:div w:id="174079746">
      <w:bodyDiv w:val="1"/>
      <w:marLeft w:val="0"/>
      <w:marRight w:val="0"/>
      <w:marTop w:val="0"/>
      <w:marBottom w:val="0"/>
      <w:divBdr>
        <w:top w:val="none" w:sz="0" w:space="0" w:color="auto"/>
        <w:left w:val="none" w:sz="0" w:space="0" w:color="auto"/>
        <w:bottom w:val="none" w:sz="0" w:space="0" w:color="auto"/>
        <w:right w:val="none" w:sz="0" w:space="0" w:color="auto"/>
      </w:divBdr>
    </w:div>
    <w:div w:id="427779439">
      <w:bodyDiv w:val="1"/>
      <w:marLeft w:val="0"/>
      <w:marRight w:val="0"/>
      <w:marTop w:val="0"/>
      <w:marBottom w:val="0"/>
      <w:divBdr>
        <w:top w:val="none" w:sz="0" w:space="0" w:color="auto"/>
        <w:left w:val="none" w:sz="0" w:space="0" w:color="auto"/>
        <w:bottom w:val="none" w:sz="0" w:space="0" w:color="auto"/>
        <w:right w:val="none" w:sz="0" w:space="0" w:color="auto"/>
      </w:divBdr>
    </w:div>
    <w:div w:id="505292799">
      <w:bodyDiv w:val="1"/>
      <w:marLeft w:val="0"/>
      <w:marRight w:val="0"/>
      <w:marTop w:val="0"/>
      <w:marBottom w:val="0"/>
      <w:divBdr>
        <w:top w:val="none" w:sz="0" w:space="0" w:color="auto"/>
        <w:left w:val="none" w:sz="0" w:space="0" w:color="auto"/>
        <w:bottom w:val="none" w:sz="0" w:space="0" w:color="auto"/>
        <w:right w:val="none" w:sz="0" w:space="0" w:color="auto"/>
      </w:divBdr>
    </w:div>
    <w:div w:id="675498805">
      <w:bodyDiv w:val="1"/>
      <w:marLeft w:val="0"/>
      <w:marRight w:val="0"/>
      <w:marTop w:val="0"/>
      <w:marBottom w:val="0"/>
      <w:divBdr>
        <w:top w:val="none" w:sz="0" w:space="0" w:color="auto"/>
        <w:left w:val="none" w:sz="0" w:space="0" w:color="auto"/>
        <w:bottom w:val="none" w:sz="0" w:space="0" w:color="auto"/>
        <w:right w:val="none" w:sz="0" w:space="0" w:color="auto"/>
      </w:divBdr>
    </w:div>
    <w:div w:id="1260718198">
      <w:bodyDiv w:val="1"/>
      <w:marLeft w:val="0"/>
      <w:marRight w:val="0"/>
      <w:marTop w:val="0"/>
      <w:marBottom w:val="0"/>
      <w:divBdr>
        <w:top w:val="none" w:sz="0" w:space="0" w:color="auto"/>
        <w:left w:val="none" w:sz="0" w:space="0" w:color="auto"/>
        <w:bottom w:val="none" w:sz="0" w:space="0" w:color="auto"/>
        <w:right w:val="none" w:sz="0" w:space="0" w:color="auto"/>
      </w:divBdr>
    </w:div>
    <w:div w:id="198778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76fe23b-1fd5-490c-8cb0-07279ee04191" ContentTypeId="0x01010006ECCEB8876C3241BF9EAC4A765FAF420033BCB4A09CD4BD42924D6EC91122B475" PreviousValue="false" LastSyncTimeStamp="2024-11-07T22:14:19.95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ning, Policies, and Procedures - Establishment and Development History of Agency and Programs" ma:contentTypeID="0x01010006ECCEB8876C3241BF9EAC4A765FAF420033BCB4A09CD4BD42924D6EC91122B47500F02E3B397DA6124E86AF9E785E5D8CAA" ma:contentTypeVersion="19" ma:contentTypeDescription="Create a new document." ma:contentTypeScope="" ma:versionID="20af586ad01119f411c005f0c88c5511">
  <xsd:schema xmlns:xsd="http://www.w3.org/2001/XMLSchema" xmlns:xs="http://www.w3.org/2001/XMLSchema" xmlns:p="http://schemas.microsoft.com/office/2006/metadata/properties" xmlns:ns2="2025f06d-6995-4e44-8ee8-f8a6ae3bb98f" xmlns:ns3="adabe301-b6be-4412-b57e-a24d01e40d48" xmlns:ns4="144b8a39-0e9a-4937-b305-ebe4a5d5568b" targetNamespace="http://schemas.microsoft.com/office/2006/metadata/properties" ma:root="true" ma:fieldsID="90212b1c96e814291bc6b80cfa17fa6f" ns2:_="" ns3:_="" ns4:_="">
    <xsd:import namespace="2025f06d-6995-4e44-8ee8-f8a6ae3bb98f"/>
    <xsd:import namespace="adabe301-b6be-4412-b57e-a24d01e40d48"/>
    <xsd:import namespace="144b8a39-0e9a-4937-b305-ebe4a5d5568b"/>
    <xsd:element name="properties">
      <xsd:complexType>
        <xsd:sequence>
          <xsd:element name="documentManagement">
            <xsd:complexType>
              <xsd:all>
                <xsd:element ref="ns2:Topic" minOccurs="0"/>
                <xsd:element ref="ns3:MediaServiceMetadata" minOccurs="0"/>
                <xsd:element ref="ns3:MediaServiceFastMetadata" minOccurs="0"/>
                <xsd:element ref="ns3:MediaServiceSearchProperties" minOccurs="0"/>
                <xsd:element ref="ns3:MediaServiceObjectDetectorVersions" minOccurs="0"/>
                <xsd:element ref="ns3:DocumentType"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5f06d-6995-4e44-8ee8-f8a6ae3bb98f" elementFormDefault="qualified">
    <xsd:import namespace="http://schemas.microsoft.com/office/2006/documentManagement/types"/>
    <xsd:import namespace="http://schemas.microsoft.com/office/infopath/2007/PartnerControls"/>
    <xsd:element name="Topic" ma:index="1" nillable="true" ma:displayName="Topic" ma:indexed="true" ma:internalName="Topic"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be301-b6be-4412-b57e-a24d01e40d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Type" ma:index="14" nillable="true" ma:displayName="Document Type" ma:format="Dropdown" ma:internalName="DocumentType">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6fe23b-1fd5-490c-8cb0-07279ee0419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b8a39-0e9a-4937-b305-ebe4a5d556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1f8000-659b-4beb-a308-1427754d8d0f}" ma:internalName="TaxCatchAll" ma:showField="CatchAllData" ma:web="144b8a39-0e9a-4937-b305-ebe4a5d55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adabe301-b6be-4412-b57e-a24d01e40d48">WSDOT Reporting Template</DocumentType>
    <TaxCatchAll xmlns="144b8a39-0e9a-4937-b305-ebe4a5d5568b" xsi:nil="true"/>
    <Topic xmlns="2025f06d-6995-4e44-8ee8-f8a6ae3bb98f">Adopted City Program</Topic>
    <lcf76f155ced4ddcb4097134ff3c332f xmlns="adabe301-b6be-4412-b57e-a24d01e4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26DBD8-3F04-4CB9-988C-29F07614C758}">
  <ds:schemaRefs>
    <ds:schemaRef ds:uri="Microsoft.SharePoint.Taxonomy.ContentTypeSync"/>
  </ds:schemaRefs>
</ds:datastoreItem>
</file>

<file path=customXml/itemProps2.xml><?xml version="1.0" encoding="utf-8"?>
<ds:datastoreItem xmlns:ds="http://schemas.openxmlformats.org/officeDocument/2006/customXml" ds:itemID="{C173BE8F-F3ED-4DF7-8D80-739A32F31C10}">
  <ds:schemaRefs>
    <ds:schemaRef ds:uri="http://schemas.microsoft.com/sharepoint/v3/contenttype/forms"/>
  </ds:schemaRefs>
</ds:datastoreItem>
</file>

<file path=customXml/itemProps3.xml><?xml version="1.0" encoding="utf-8"?>
<ds:datastoreItem xmlns:ds="http://schemas.openxmlformats.org/officeDocument/2006/customXml" ds:itemID="{0B2E4EFB-F9B9-4925-BA12-00632E4DC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5f06d-6995-4e44-8ee8-f8a6ae3bb98f"/>
    <ds:schemaRef ds:uri="adabe301-b6be-4412-b57e-a24d01e40d48"/>
    <ds:schemaRef ds:uri="144b8a39-0e9a-4937-b305-ebe4a5d55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6FE30-4264-46B2-AC78-2BEA817C413C}">
  <ds:schemaRef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2025f06d-6995-4e44-8ee8-f8a6ae3bb98f"/>
    <ds:schemaRef ds:uri="144b8a39-0e9a-4937-b305-ebe4a5d5568b"/>
    <ds:schemaRef ds:uri="adabe301-b6be-4412-b57e-a24d01e40d48"/>
    <ds:schemaRef ds:uri="http://purl.org/dc/terms/"/>
    <ds:schemaRef ds:uri="http://purl.org/dc/elements/1.1/"/>
  </ds:schemaRefs>
</ds:datastoreItem>
</file>

<file path=docMetadata/LabelInfo.xml><?xml version="1.0" encoding="utf-8"?>
<clbl:labelList xmlns:clbl="http://schemas.microsoft.com/office/2020/mipLabelMetadata">
  <clbl:label id="{c7243e29-e897-47ce-8043-54eeb9907be5}" enabled="0" method="" siteId="{c7243e29-e897-47ce-8043-54eeb9907be5}"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2911</Words>
  <Characters>17122</Characters>
  <Application>Microsoft Office Word</Application>
  <DocSecurity>0</DocSecurity>
  <Lines>462</Lines>
  <Paragraphs>250</Paragraphs>
  <ScaleCrop>false</ScaleCrop>
  <HeadingPairs>
    <vt:vector size="2" baseType="variant">
      <vt:variant>
        <vt:lpstr>Title</vt:lpstr>
      </vt:variant>
      <vt:variant>
        <vt:i4>1</vt:i4>
      </vt:variant>
    </vt:vector>
  </HeadingPairs>
  <TitlesOfParts>
    <vt:vector size="1" baseType="lpstr">
      <vt:lpstr>Title VI Accomplishments &amp; Goals Report</vt:lpstr>
    </vt:vector>
  </TitlesOfParts>
  <Company>WSDOT</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Accomplishments &amp; Goals Report - WSDOT</dc:title>
  <dc:subject/>
  <dc:creator>Gleue, Gretchen</dc:creator>
  <cp:keywords/>
  <dc:description/>
  <cp:lastModifiedBy>Lori Erickson</cp:lastModifiedBy>
  <cp:revision>2</cp:revision>
  <dcterms:created xsi:type="dcterms:W3CDTF">2025-12-11T00:23:00Z</dcterms:created>
  <dcterms:modified xsi:type="dcterms:W3CDTF">2025-12-11T00:23:00Z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0x01010006ECCEB8876C3241BF9EAC4A765FAF420033BCB4A09CD4BD42924D6EC91122B47500F02E3B397DA6124E86AF9E785E5D8CAA</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c340c987-fa28-4946-a8e7-6b33d76ec0ba</vt:lpwstr>
  </property>
</Properties>
</file>